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85960" w14:textId="1DE3D728" w:rsidR="0013445F" w:rsidRPr="002B2B3A" w:rsidRDefault="00CF3FDB" w:rsidP="00C70372">
      <w:pPr>
        <w:pStyle w:val="Nagwek1"/>
      </w:pPr>
      <w:r w:rsidRPr="002B2B3A">
        <w:t>Załącznik nr 6</w:t>
      </w:r>
    </w:p>
    <w:p w14:paraId="41DC904F" w14:textId="6D818BFA" w:rsidR="00CF3FDB" w:rsidRPr="002B2B3A" w:rsidRDefault="00EF03BF" w:rsidP="00C70372">
      <w:pPr>
        <w:pStyle w:val="Nagwek1"/>
      </w:pPr>
      <w:r w:rsidRPr="002B2B3A">
        <w:t xml:space="preserve">do </w:t>
      </w:r>
      <w:r w:rsidR="00257EBB" w:rsidRPr="00C70372">
        <w:t>Regulaminu</w:t>
      </w:r>
      <w:r w:rsidR="00257EBB">
        <w:t xml:space="preserve"> naboru wniosków o wsparcie</w:t>
      </w:r>
    </w:p>
    <w:p w14:paraId="71BC1BE9" w14:textId="15BE7411" w:rsidR="00CF3FDB" w:rsidRPr="005F5FF0" w:rsidRDefault="00CF3FDB" w:rsidP="00246168">
      <w:pPr>
        <w:pStyle w:val="Nagwek2"/>
      </w:pPr>
      <w:r w:rsidRPr="002B2B3A">
        <w:t xml:space="preserve">Lista </w:t>
      </w:r>
      <w:r w:rsidRPr="00246168">
        <w:t>wskaźników</w:t>
      </w:r>
      <w:r w:rsidRPr="002B2B3A">
        <w:t xml:space="preserve"> (EFS+)</w:t>
      </w:r>
      <w:bookmarkStart w:id="0" w:name="_Hlk125701456"/>
    </w:p>
    <w:tbl>
      <w:tblPr>
        <w:tblStyle w:val="Tabelasiatki1jasna1"/>
        <w:tblW w:w="0" w:type="auto"/>
        <w:tblLook w:val="04A0" w:firstRow="1" w:lastRow="0" w:firstColumn="1" w:lastColumn="0" w:noHBand="0" w:noVBand="1"/>
        <w:tblCaption w:val="Lista wskaźników EFS+"/>
        <w:tblDescription w:val="Wskaźniki produktu oraz Wskaźnik rezultatu"/>
      </w:tblPr>
      <w:tblGrid>
        <w:gridCol w:w="1369"/>
        <w:gridCol w:w="1509"/>
        <w:gridCol w:w="3027"/>
        <w:gridCol w:w="4382"/>
        <w:gridCol w:w="964"/>
        <w:gridCol w:w="1745"/>
      </w:tblGrid>
      <w:tr w:rsidR="00AD6EC5" w:rsidRPr="002B2B3A" w14:paraId="4F6674E9" w14:textId="14B427E4" w:rsidTr="00AD6E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Merge w:val="restart"/>
          </w:tcPr>
          <w:bookmarkEnd w:id="0"/>
          <w:p w14:paraId="5887A098" w14:textId="77777777" w:rsidR="00AD6EC5" w:rsidRPr="002B2B3A" w:rsidRDefault="00AD6EC5" w:rsidP="00CF3FDB">
            <w:pPr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Kod wskaźnika </w:t>
            </w:r>
          </w:p>
        </w:tc>
        <w:tc>
          <w:tcPr>
            <w:tcW w:w="1823" w:type="dxa"/>
            <w:vMerge w:val="restart"/>
          </w:tcPr>
          <w:p w14:paraId="6628D73C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Rodzaj wskaźnika </w:t>
            </w:r>
          </w:p>
        </w:tc>
        <w:tc>
          <w:tcPr>
            <w:tcW w:w="3382" w:type="dxa"/>
            <w:vMerge w:val="restart"/>
          </w:tcPr>
          <w:p w14:paraId="47D607D7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Nazwa wskaźnika (jednostka miary) </w:t>
            </w:r>
          </w:p>
        </w:tc>
        <w:tc>
          <w:tcPr>
            <w:tcW w:w="4978" w:type="dxa"/>
            <w:vMerge w:val="restart"/>
          </w:tcPr>
          <w:p w14:paraId="78F7A449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Definicja operacyjna/kontekst prawny</w:t>
            </w:r>
          </w:p>
        </w:tc>
        <w:tc>
          <w:tcPr>
            <w:tcW w:w="2834" w:type="dxa"/>
            <w:gridSpan w:val="2"/>
          </w:tcPr>
          <w:p w14:paraId="5E6B13A4" w14:textId="01E5202F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Wskaźnik obligatoryjny </w:t>
            </w:r>
          </w:p>
        </w:tc>
      </w:tr>
      <w:tr w:rsidR="00AD6EC5" w:rsidRPr="002B2B3A" w14:paraId="55F3F338" w14:textId="77777777" w:rsidTr="00E12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Merge/>
          </w:tcPr>
          <w:p w14:paraId="78A4F896" w14:textId="77777777" w:rsidR="00AD6EC5" w:rsidRPr="002B2B3A" w:rsidRDefault="00AD6EC5" w:rsidP="00CF3FDB">
            <w:pPr>
              <w:rPr>
                <w:rFonts w:ascii="Arial" w:hAnsi="Arial" w:cs="Arial"/>
              </w:rPr>
            </w:pPr>
          </w:p>
        </w:tc>
        <w:tc>
          <w:tcPr>
            <w:tcW w:w="1823" w:type="dxa"/>
            <w:vMerge/>
          </w:tcPr>
          <w:p w14:paraId="6BE17E9D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2" w:type="dxa"/>
            <w:vMerge/>
          </w:tcPr>
          <w:p w14:paraId="44C32B12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978" w:type="dxa"/>
            <w:vMerge/>
          </w:tcPr>
          <w:p w14:paraId="0E5829E2" w14:textId="77777777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0F0760A6" w14:textId="1F501D40" w:rsidR="00AD6EC5" w:rsidRPr="00AD6EC5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TAK</w:t>
            </w:r>
          </w:p>
        </w:tc>
        <w:tc>
          <w:tcPr>
            <w:tcW w:w="1417" w:type="dxa"/>
          </w:tcPr>
          <w:p w14:paraId="674B7C7F" w14:textId="5766B3CA" w:rsidR="00AD6EC5" w:rsidRPr="002B2B3A" w:rsidRDefault="00AD6EC5" w:rsidP="00CF3F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</w:tr>
      <w:tr w:rsidR="00AD6EC5" w:rsidRPr="002B2B3A" w14:paraId="2B318B04" w14:textId="4CDD7529" w:rsidTr="00575D8F">
        <w:trPr>
          <w:trHeight w:val="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89FFA2B" w14:textId="1922A77A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1" w:name="_Hlk179536009"/>
            <w:r w:rsidRPr="002B2B3A">
              <w:rPr>
                <w:rFonts w:ascii="Arial" w:hAnsi="Arial" w:cs="Arial"/>
              </w:rPr>
              <w:t>WLWK-EECO01</w:t>
            </w:r>
          </w:p>
        </w:tc>
        <w:tc>
          <w:tcPr>
            <w:tcW w:w="1823" w:type="dxa"/>
          </w:tcPr>
          <w:p w14:paraId="1C4D1033" w14:textId="77777777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5373406E" w14:textId="2A9E4FB5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Całkowita liczba osób objętych wsparciem (osoby)</w:t>
            </w:r>
          </w:p>
        </w:tc>
        <w:tc>
          <w:tcPr>
            <w:tcW w:w="4978" w:type="dxa"/>
          </w:tcPr>
          <w:p w14:paraId="1D1EC1A8" w14:textId="77777777" w:rsidR="00AD6EC5" w:rsidRPr="002B2B3A" w:rsidRDefault="00AD6EC5" w:rsidP="00246168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Wskaźnik mierzy liczbę uczestników, tj. osób bezpośrednio korzystających ze wsparcia EFS+. Inne osoby nie powinny być monitorowane w tym wskaźniku.</w:t>
            </w:r>
          </w:p>
          <w:p w14:paraId="077B95E1" w14:textId="4D9D9A80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Wskaźnik mierzony w momencie rozpoczęcia udziału danej osoby w pierwszej formie wsparcia w projekcie. Jedna osoba wykazywana jest raz w ramach wskaźnika</w:t>
            </w:r>
            <w:r w:rsidR="005F5FF0">
              <w:rPr>
                <w:rFonts w:ascii="Arial" w:hAnsi="Arial" w:cs="Arial"/>
              </w:rPr>
              <w:t xml:space="preserve"> </w:t>
            </w:r>
            <w:r w:rsidRPr="002B2B3A">
              <w:rPr>
                <w:rFonts w:ascii="Arial" w:hAnsi="Arial" w:cs="Arial"/>
              </w:rPr>
              <w:t>w projekcie, niezależnie od liczby form wsparcia, z których skorzystała.</w:t>
            </w:r>
          </w:p>
        </w:tc>
        <w:tc>
          <w:tcPr>
            <w:tcW w:w="1417" w:type="dxa"/>
          </w:tcPr>
          <w:p w14:paraId="357F964A" w14:textId="4A97D607" w:rsidR="00AD6EC5" w:rsidRPr="002B2B3A" w:rsidRDefault="00114878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417" w:type="dxa"/>
          </w:tcPr>
          <w:p w14:paraId="66E48607" w14:textId="05EECEC9" w:rsidR="00AD6EC5" w:rsidRPr="002B2B3A" w:rsidRDefault="00AD6EC5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5F4975D6" w14:textId="67F6961A" w:rsidTr="00FB689E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5218F2C4" w14:textId="1C5AECF9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2" w:name="_Hlk179536045"/>
            <w:bookmarkEnd w:id="1"/>
            <w:r w:rsidRPr="002B2B3A">
              <w:rPr>
                <w:rFonts w:ascii="Arial" w:hAnsi="Arial" w:cs="Arial"/>
              </w:rPr>
              <w:t>WLWK-PL0CO02</w:t>
            </w:r>
          </w:p>
        </w:tc>
        <w:tc>
          <w:tcPr>
            <w:tcW w:w="1823" w:type="dxa"/>
          </w:tcPr>
          <w:p w14:paraId="22261E40" w14:textId="614108B9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2B6336F2" w14:textId="5A37E49F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obiektów dostosowanych do potrzeb osób</w:t>
            </w:r>
            <w:r w:rsidR="0064466D">
              <w:rPr>
                <w:rFonts w:ascii="Arial" w:hAnsi="Arial" w:cs="Arial"/>
              </w:rPr>
              <w:t xml:space="preserve"> z niepełnosprawnościami (szt.</w:t>
            </w:r>
            <w:r w:rsidRPr="002B2B3A">
              <w:rPr>
                <w:rFonts w:ascii="Arial" w:hAnsi="Arial" w:cs="Arial"/>
              </w:rPr>
              <w:t>)</w:t>
            </w:r>
          </w:p>
        </w:tc>
        <w:tc>
          <w:tcPr>
            <w:tcW w:w="4978" w:type="dxa"/>
          </w:tcPr>
          <w:p w14:paraId="2652FF68" w14:textId="7A093364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Wskaźnik odnosi się do liczby obiektów w ramach realizowanego projektu, które zaopatrzono w specjalne podjazdy, windy, urządzenia głośnomówiące, bądź inne udogodnienia (tj. usunięcie barier w dostępie, w</w:t>
            </w:r>
            <w:r w:rsidR="00C70372">
              <w:rPr>
                <w:rFonts w:ascii="Arial" w:hAnsi="Arial" w:cs="Arial"/>
              </w:rPr>
              <w:t> </w:t>
            </w:r>
            <w:r w:rsidRPr="002B2B3A">
              <w:rPr>
                <w:rFonts w:ascii="Arial" w:hAnsi="Arial" w:cs="Arial"/>
              </w:rPr>
              <w:t>szczególności barier architektonicznych) ułatwiające dostęp do tych obiektów i poruszanie się po nich osobom z niepełnosprawnościami, w szczególności ruchowymi czy sensorycznymi.</w:t>
            </w:r>
          </w:p>
          <w:p w14:paraId="591CF95E" w14:textId="77777777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Jako obiekty należy rozumieć konstrukcje połączone z gruntem w sposób trwały, wykonane z materiałów budowlanych i elementów składowych, będące wynikiem prac budowlanych (wg. def. PKOB).</w:t>
            </w:r>
          </w:p>
          <w:p w14:paraId="47977B04" w14:textId="77777777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Należy podać liczbę obiektów, a nie sprzętów, urządzeń itp., w które obiekty zaopatrzono. Jeśli instytucja, zakład itp. </w:t>
            </w:r>
            <w:r w:rsidRPr="002B2B3A">
              <w:rPr>
                <w:rFonts w:ascii="Arial" w:hAnsi="Arial" w:cs="Arial"/>
              </w:rPr>
              <w:lastRenderedPageBreak/>
              <w:t xml:space="preserve">składa się z kilku obiektów, należy zliczyć wszystkie, które dostosowano do potrzeb osób z niepełnosprawnościami. </w:t>
            </w:r>
          </w:p>
          <w:p w14:paraId="183FB683" w14:textId="19572990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Wskaźnik mierzony w momencie rozliczenia wydatku związanego z wyposażeniem obiektów w rozwiązania służące osobom z niepełnosprawnościami w ramach danego projektu.</w:t>
            </w:r>
          </w:p>
        </w:tc>
        <w:tc>
          <w:tcPr>
            <w:tcW w:w="1417" w:type="dxa"/>
          </w:tcPr>
          <w:p w14:paraId="2F367EFA" w14:textId="54E9CF31" w:rsidR="00AD6EC5" w:rsidRPr="002B2B3A" w:rsidRDefault="00AD6EC5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14:paraId="79E9624C" w14:textId="6D86A502" w:rsidR="00AD6EC5" w:rsidRPr="002B2B3A" w:rsidRDefault="00E46DB3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eastAsia="pl-PL"/>
              </w:rPr>
              <w:t>W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skaźnik </w:t>
            </w:r>
            <w:r>
              <w:rPr>
                <w:rFonts w:ascii="Arial" w:eastAsia="Times New Roman" w:hAnsi="Arial" w:cs="Arial"/>
                <w:lang w:eastAsia="pl-PL"/>
              </w:rPr>
              <w:t>należy wykazać we wniosku o dofinansowanie jeśli jest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adekwatn</w:t>
            </w:r>
            <w:r>
              <w:rPr>
                <w:rFonts w:ascii="Arial" w:eastAsia="Times New Roman" w:hAnsi="Arial" w:cs="Arial"/>
                <w:lang w:eastAsia="pl-PL"/>
              </w:rPr>
              <w:t>y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do planowanego w projekcie zakresu wsparcia i grupy docelowej </w:t>
            </w:r>
          </w:p>
        </w:tc>
      </w:tr>
      <w:tr w:rsidR="00AD6EC5" w:rsidRPr="002B2B3A" w14:paraId="02348328" w14:textId="096CEB4F" w:rsidTr="005F5E08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03A8011" w14:textId="70B0A687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3" w:name="_Hlk179536541"/>
            <w:bookmarkEnd w:id="2"/>
            <w:r w:rsidRPr="002B2B3A">
              <w:rPr>
                <w:rFonts w:ascii="Arial" w:hAnsi="Arial" w:cs="Arial"/>
              </w:rPr>
              <w:t>WLWK-PLKLCO03</w:t>
            </w:r>
          </w:p>
        </w:tc>
        <w:tc>
          <w:tcPr>
            <w:tcW w:w="1823" w:type="dxa"/>
          </w:tcPr>
          <w:p w14:paraId="7F4FC02C" w14:textId="59EE0D57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318C5A70" w14:textId="4913A6ED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bookmarkStart w:id="4" w:name="_Hlk130384227"/>
            <w:r w:rsidRPr="002B2B3A">
              <w:rPr>
                <w:rFonts w:ascii="Arial" w:hAnsi="Arial" w:cs="Arial"/>
              </w:rPr>
              <w:t xml:space="preserve">Liczba opiekunów faktycznych/nieformalnych objętych wsparciem w programie </w:t>
            </w:r>
            <w:bookmarkEnd w:id="4"/>
            <w:r w:rsidRPr="002B2B3A">
              <w:rPr>
                <w:rFonts w:ascii="Arial" w:hAnsi="Arial" w:cs="Arial"/>
              </w:rPr>
              <w:t>(osoby)</w:t>
            </w:r>
          </w:p>
        </w:tc>
        <w:tc>
          <w:tcPr>
            <w:tcW w:w="4978" w:type="dxa"/>
          </w:tcPr>
          <w:p w14:paraId="67CCDF9D" w14:textId="77777777" w:rsidR="00AD6EC5" w:rsidRPr="002B2B3A" w:rsidRDefault="00AD6EC5" w:rsidP="00246168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Wskaźnik obejmuje osoby, które otrzymały wsparcie w sprawowaniu opieki nad osobami potrzebującymi wsparcia w codziennym funkcjonowaniu, np. w postaci poradnictwa, pomocy psychologicznej, grup wsparcia, szkoleń, opieki </w:t>
            </w:r>
            <w:proofErr w:type="spellStart"/>
            <w:r w:rsidRPr="002B2B3A">
              <w:rPr>
                <w:rFonts w:ascii="Arial" w:eastAsia="Times New Roman" w:hAnsi="Arial" w:cs="Arial"/>
                <w:lang w:eastAsia="pl-PL"/>
              </w:rPr>
              <w:t>wytchnieniowej</w:t>
            </w:r>
            <w:proofErr w:type="spellEnd"/>
            <w:r w:rsidRPr="002B2B3A">
              <w:rPr>
                <w:rFonts w:ascii="Arial" w:eastAsia="Times New Roman" w:hAnsi="Arial" w:cs="Arial"/>
                <w:lang w:eastAsia="pl-PL"/>
              </w:rPr>
              <w:t>, usług regeneracyjnych, czyli podtrzymujących lub przywracających zdolność sprawowania opieki. Daną osobę należy uwzględnić w wartości wskaźnika jednokrotnie niezależnie od liczby i rodzaju form wsparcia, które ta osoba uzyskała w ramach projektu.</w:t>
            </w:r>
          </w:p>
          <w:p w14:paraId="7076374D" w14:textId="5DE87BAF" w:rsidR="00AD6EC5" w:rsidRPr="002B2B3A" w:rsidRDefault="00AA6F41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AA6F41">
              <w:rPr>
                <w:rFonts w:ascii="Arial" w:eastAsia="Times New Roman" w:hAnsi="Arial" w:cs="Arial"/>
                <w:lang w:eastAsia="pl-PL"/>
              </w:rPr>
              <w:t>Opiekuna faktycznego/nieformalnego należy rozumieć zgodnie z definicją wskazaną w wytycznych ministra właściwego ds. rozwoju regionalnego.</w:t>
            </w:r>
          </w:p>
        </w:tc>
        <w:tc>
          <w:tcPr>
            <w:tcW w:w="1417" w:type="dxa"/>
          </w:tcPr>
          <w:p w14:paraId="7F9436B8" w14:textId="7A7819B5" w:rsidR="00AD6EC5" w:rsidRPr="002B2B3A" w:rsidRDefault="00AD6EC5" w:rsidP="00290859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417" w:type="dxa"/>
          </w:tcPr>
          <w:p w14:paraId="328BE62E" w14:textId="2A0EBFBF" w:rsidR="00AD6EC5" w:rsidRPr="002B2B3A" w:rsidRDefault="00E46DB3" w:rsidP="00E61A76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E46DB3">
              <w:rPr>
                <w:rFonts w:ascii="Arial" w:eastAsia="Times New Roman" w:hAnsi="Arial" w:cs="Arial"/>
                <w:lang w:eastAsia="pl-PL"/>
              </w:rPr>
              <w:t>Wskaźnik należy wykazać we wniosku o dofinansowanie jeśli jest adekwatny do planowanego w projekcie zakresu wsparcia i grupy docelowej</w:t>
            </w:r>
          </w:p>
        </w:tc>
      </w:tr>
      <w:tr w:rsidR="00AD6EC5" w:rsidRPr="002B2B3A" w14:paraId="070639B4" w14:textId="3C0A3A31" w:rsidTr="000D43F9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33984483" w14:textId="14A288E2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5" w:name="_Hlk179536729"/>
            <w:bookmarkEnd w:id="3"/>
            <w:r w:rsidRPr="002B2B3A">
              <w:rPr>
                <w:rFonts w:ascii="Arial" w:hAnsi="Arial" w:cs="Arial"/>
              </w:rPr>
              <w:t>WLWK-EECO04</w:t>
            </w:r>
          </w:p>
        </w:tc>
        <w:tc>
          <w:tcPr>
            <w:tcW w:w="1823" w:type="dxa"/>
          </w:tcPr>
          <w:p w14:paraId="73892B28" w14:textId="7BF9E1B0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70499F01" w14:textId="5938394D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2B2B3A">
              <w:rPr>
                <w:rFonts w:ascii="Arial" w:hAnsi="Arial" w:cs="Arial"/>
              </w:rPr>
              <w:t>Liczba osób biernych zawodowo objętych wsparciem w programie (osoby)</w:t>
            </w:r>
          </w:p>
        </w:tc>
        <w:tc>
          <w:tcPr>
            <w:tcW w:w="4978" w:type="dxa"/>
          </w:tcPr>
          <w:p w14:paraId="152090A7" w14:textId="71947B62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Osoby bierne zawodowo to </w:t>
            </w:r>
            <w:r w:rsidRPr="002B2B3A">
              <w:rPr>
                <w:rFonts w:ascii="Arial" w:eastAsia="Times New Roman" w:hAnsi="Arial" w:cs="Arial"/>
                <w:iCs/>
                <w:lang w:eastAsia="pl-PL"/>
              </w:rPr>
              <w:t>osoby, które w danej chwili nie tworzą zasobów siły roboczej (tzn. nie są osobami pracującymi ani bezrobotnymi).</w:t>
            </w:r>
          </w:p>
          <w:p w14:paraId="1D5A0427" w14:textId="684E598F" w:rsidR="00AD6EC5" w:rsidRPr="002B2B3A" w:rsidRDefault="00AD6EC5" w:rsidP="00246168">
            <w:pPr>
              <w:ind w:left="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Osoby pracujące definiowane są jak we wskaźniku: </w:t>
            </w:r>
            <w:r w:rsidRPr="002B2B3A">
              <w:rPr>
                <w:rFonts w:ascii="Arial" w:eastAsia="Times New Roman" w:hAnsi="Arial" w:cs="Arial"/>
                <w:i/>
                <w:lang w:eastAsia="pl-PL"/>
              </w:rPr>
              <w:t xml:space="preserve">liczba osób pracujących, łącznie z prowadzącymi działalność na </w:t>
            </w:r>
            <w:r w:rsidRPr="002B2B3A">
              <w:rPr>
                <w:rFonts w:ascii="Arial" w:eastAsia="Times New Roman" w:hAnsi="Arial" w:cs="Arial"/>
                <w:i/>
                <w:lang w:eastAsia="pl-PL"/>
              </w:rPr>
              <w:lastRenderedPageBreak/>
              <w:t>własny rachunek, objętych wsparciem w programie (osoby)</w:t>
            </w:r>
            <w:r w:rsidRPr="002B2B3A">
              <w:rPr>
                <w:rFonts w:ascii="Arial" w:eastAsia="Times New Roman" w:hAnsi="Arial" w:cs="Arial"/>
                <w:lang w:eastAsia="pl-PL"/>
              </w:rPr>
              <w:t>.</w:t>
            </w:r>
          </w:p>
          <w:p w14:paraId="215E0976" w14:textId="20CE9FA3" w:rsidR="00AD6EC5" w:rsidRPr="002B2B3A" w:rsidRDefault="00AD6EC5" w:rsidP="00246168">
            <w:pPr>
              <w:ind w:left="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Osoby bezrobotne definiowane jak we wskaźniku: </w:t>
            </w:r>
            <w:r w:rsidRPr="002B2B3A">
              <w:rPr>
                <w:rFonts w:ascii="Arial" w:eastAsia="Times New Roman" w:hAnsi="Arial" w:cs="Arial"/>
                <w:i/>
                <w:lang w:eastAsia="pl-PL"/>
              </w:rPr>
              <w:t>liczba osób bezrobotnych, w tym długotrwale bezrobotnych, objętych wsparciem w programie (osoby).</w:t>
            </w:r>
          </w:p>
          <w:p w14:paraId="2F9DBDAC" w14:textId="77777777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Za osoby bierne zawodowo uznawani są m.in.:</w:t>
            </w:r>
          </w:p>
          <w:p w14:paraId="5182461A" w14:textId="77777777" w:rsidR="00AD6EC5" w:rsidRPr="002B2B3A" w:rsidRDefault="00AD6EC5" w:rsidP="00246168">
            <w:pPr>
              <w:pStyle w:val="Akapitzlist"/>
              <w:numPr>
                <w:ilvl w:val="0"/>
                <w:numId w:val="1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studenci studiów stacjonarnych, chyba że są już zatrudnieni (również na część etatu) to wówczas powinni być wykazywani jako osoby pracujące</w:t>
            </w:r>
          </w:p>
          <w:p w14:paraId="0DC82C63" w14:textId="77777777" w:rsidR="00AD6EC5" w:rsidRPr="002B2B3A" w:rsidRDefault="00AD6EC5" w:rsidP="00246168">
            <w:pPr>
              <w:pStyle w:val="Akapitzlist"/>
              <w:numPr>
                <w:ilvl w:val="0"/>
                <w:numId w:val="1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dzieci i młodzież do 18 r. ż. pobierające naukę, o ile nie spełniają przesłanek, na podstawie których można je zaliczyć do osób bezrobotnych lub pracujących.</w:t>
            </w:r>
          </w:p>
          <w:p w14:paraId="7C990980" w14:textId="61BC3AFC" w:rsidR="00AD6EC5" w:rsidRPr="003C46C8" w:rsidRDefault="00AD6EC5" w:rsidP="00246168">
            <w:pPr>
              <w:pStyle w:val="Akapitzlist"/>
              <w:numPr>
                <w:ilvl w:val="0"/>
                <w:numId w:val="15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doktoranci, którzy nie są zatrudnieni na uczelni, w innej instytucji lub przedsiębiorstwie. W przypadku, gdy doktorant wykonuje obowiązki służbowe, za które otrzymuje wynagrodzenie, lub prowadzi działalność gospodarczą należy traktować go jako osobę pracującą. W</w:t>
            </w:r>
            <w:r w:rsidR="00C70372">
              <w:rPr>
                <w:rFonts w:ascii="Arial" w:eastAsia="Times New Roman" w:hAnsi="Arial" w:cs="Arial"/>
                <w:lang w:eastAsia="pl-PL"/>
              </w:rPr>
              <w:t> </w:t>
            </w:r>
            <w:r w:rsidRPr="002B2B3A">
              <w:rPr>
                <w:rFonts w:ascii="Arial" w:eastAsia="Times New Roman" w:hAnsi="Arial" w:cs="Arial"/>
                <w:lang w:eastAsia="pl-PL"/>
              </w:rPr>
              <w:t>przypadku, gdy doktorant jest zarejestrowany jako bezrobotny, należy go wykazywać we wskaźniku dotyczącym osób bezrobotnych.</w:t>
            </w:r>
          </w:p>
          <w:p w14:paraId="5365E4C5" w14:textId="64186E4C" w:rsidR="00AD6EC5" w:rsidRPr="003C46C8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Status na rynku pracy jest określany w dniu rozpoczęcia uczestnictwa w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projekcie, tj. w momencie rozpoczęcia udziału w pierwszej formie wsparcia w projekcie.</w:t>
            </w:r>
            <w:r w:rsidRPr="002B2B3A">
              <w:rPr>
                <w:rFonts w:ascii="Arial" w:eastAsia="Times New Roman" w:hAnsi="Arial" w:cs="Arial"/>
                <w:lang w:eastAsia="pl-PL"/>
              </w:rPr>
              <w:br/>
              <w:t>Definicja opracowana na podstawie: (§20) Statystyki polityki rynku prac – metodologia 2018, Komisja Europejska, Dyrekcja Generalna ds. Zatrudnienia, Spraw Społecznych i Włączenia Społecznego.</w:t>
            </w:r>
          </w:p>
        </w:tc>
        <w:tc>
          <w:tcPr>
            <w:tcW w:w="1417" w:type="dxa"/>
          </w:tcPr>
          <w:p w14:paraId="718633F2" w14:textId="77777777" w:rsidR="00AD6EC5" w:rsidRPr="002B2B3A" w:rsidRDefault="00AD6EC5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417" w:type="dxa"/>
          </w:tcPr>
          <w:p w14:paraId="6F674E94" w14:textId="6F9E90FE" w:rsidR="00AD6EC5" w:rsidRPr="002B2B3A" w:rsidRDefault="00E46DB3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W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skaźnik </w:t>
            </w:r>
            <w:r>
              <w:rPr>
                <w:rFonts w:ascii="Arial" w:eastAsia="Times New Roman" w:hAnsi="Arial" w:cs="Arial"/>
                <w:lang w:eastAsia="pl-PL"/>
              </w:rPr>
              <w:t>należy wykazać we wniosku o dofinansowanie jeśli jest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adekwatn</w:t>
            </w:r>
            <w:r>
              <w:rPr>
                <w:rFonts w:ascii="Arial" w:eastAsia="Times New Roman" w:hAnsi="Arial" w:cs="Arial"/>
                <w:lang w:eastAsia="pl-PL"/>
              </w:rPr>
              <w:t>y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do </w:t>
            </w:r>
            <w:r w:rsidRPr="000C2A61">
              <w:rPr>
                <w:rFonts w:ascii="Arial" w:eastAsia="Times New Roman" w:hAnsi="Arial" w:cs="Arial"/>
                <w:lang w:eastAsia="pl-PL"/>
              </w:rPr>
              <w:lastRenderedPageBreak/>
              <w:t xml:space="preserve">planowanego w projekcie zakresu wsparcia i grupy docelowej </w:t>
            </w:r>
          </w:p>
        </w:tc>
      </w:tr>
      <w:tr w:rsidR="00AD6EC5" w:rsidRPr="002B2B3A" w14:paraId="0617E06E" w14:textId="693E695E" w:rsidTr="00977D46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14E06398" w14:textId="4BA0631E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6" w:name="_Hlk179536787"/>
            <w:bookmarkEnd w:id="5"/>
            <w:r w:rsidRPr="002B2B3A">
              <w:rPr>
                <w:rFonts w:ascii="Arial" w:hAnsi="Arial" w:cs="Arial"/>
              </w:rPr>
              <w:lastRenderedPageBreak/>
              <w:t>WLWK-EECO15</w:t>
            </w:r>
          </w:p>
        </w:tc>
        <w:tc>
          <w:tcPr>
            <w:tcW w:w="1823" w:type="dxa"/>
          </w:tcPr>
          <w:p w14:paraId="7F597058" w14:textId="63AB880F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2537CDAA" w14:textId="23675B46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osób należących do mniejszości, w tym społeczności marginalizowanych takich jak Romowie, objętych wsparciem w programie (osoby)</w:t>
            </w:r>
          </w:p>
        </w:tc>
        <w:tc>
          <w:tcPr>
            <w:tcW w:w="4978" w:type="dxa"/>
          </w:tcPr>
          <w:p w14:paraId="1301C868" w14:textId="77777777" w:rsidR="00AD6EC5" w:rsidRPr="002B2B3A" w:rsidRDefault="00AD6EC5" w:rsidP="00246168">
            <w:pPr>
              <w:pStyle w:val="Akapitzlist"/>
              <w:spacing w:before="120"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Wskaźnik obejmuje osoby należące do mniejszości narodowych i etnicznych biorące udział w projektach EFS+.</w:t>
            </w:r>
          </w:p>
          <w:p w14:paraId="4671F6BA" w14:textId="77777777" w:rsidR="00AD6EC5" w:rsidRPr="002B2B3A" w:rsidRDefault="00AD6EC5" w:rsidP="00246168">
            <w:pPr>
              <w:pStyle w:val="Akapitzlist"/>
              <w:spacing w:before="120"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Zgodnie z prawem krajowym mniejszości narodowe to mniejszość: białoruska, czeska, litewska, niemiecka, ormiańska, rosyjska, słowacka, ukraińska, żydowska. Mniejszości etniczne: karaimska, łemkowska, romska, tatarska.</w:t>
            </w:r>
            <w:r w:rsidRPr="002B2B3A">
              <w:rPr>
                <w:rFonts w:ascii="Arial" w:eastAsia="Times New Roman" w:hAnsi="Arial" w:cs="Arial"/>
                <w:lang w:eastAsia="pl-PL"/>
              </w:rPr>
              <w:br/>
              <w:t>Definicja opracowana na podstawie ustawy z dnia 6 stycznia 2005 r. o mniejszościach narodowych i etnicznych oraz o języku regionalnym.</w:t>
            </w:r>
          </w:p>
          <w:p w14:paraId="1D131936" w14:textId="77777777" w:rsidR="00AD6EC5" w:rsidRPr="002B2B3A" w:rsidRDefault="00AD6EC5" w:rsidP="00246168">
            <w:pPr>
              <w:pStyle w:val="Akapitzlist"/>
              <w:spacing w:before="120"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Przynależność do grupy osób należących do mniejszości określana jest w momencie rozpoczęcia udziału w projekcie, tj. w chwili rozpoczęcia udziału w pierwszej formie wsparcia w projekcie.</w:t>
            </w:r>
          </w:p>
          <w:p w14:paraId="00BAE5B7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W przypadku, gdy przynależność do mniejszości jest kryterium umożliwiającym udział w danej interwencji (np. grupa docelowa wskazana została we wniosku o dofinansowanie, kryteriach wyboru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projektu lub dokumentach programowych), należy dane pozyskiwać bezpośrednio od wszystkich jej uczestników. W pozostałych przypadkach dane osobowe dot. tej cechy nie muszą być zbierane od poszczególnych uczestników. Wskaźnik należy jednak monitorować, nawet w przypadku, gdy powiązane z nim dane osobowe nie są zbierane od uczestników. Beneficjent stosuje wtedy szacunki. Najlepiej, by szacunki dotyczące uczestników należących do mniejszości w ogólnej liczbie uczestników w podziale na płeć były uzyskiwane za pomocą metod, które można statystycznie uzasadnić. Jeśli nie jest to możliwe, należy wykorzystać tzw. wiarygodne szacunki (różne metody szacowania opisano w załączniku do Wytycznych). Wybraną metodę szacowania należy udokumentować. Uwaga: w danym projekcie może być stosowana wyłącznie jedna metoda monitorowania tego wskaźnika tj. szacowanie lub zbieranie danych osobowych dot. tego wskaźnika od uczestników.</w:t>
            </w:r>
          </w:p>
          <w:p w14:paraId="68D9C999" w14:textId="1D0B60B2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Zasady dotyczące możliwości wykorzystania wiarygodnych szacunków przez beneficjentów w danym naborze określane są przez właściwą dla programu Instytucję Zarządzającą</w:t>
            </w:r>
          </w:p>
        </w:tc>
        <w:tc>
          <w:tcPr>
            <w:tcW w:w="1417" w:type="dxa"/>
          </w:tcPr>
          <w:p w14:paraId="00C6697A" w14:textId="00E50A0D" w:rsidR="00AD6EC5" w:rsidRPr="000B5A54" w:rsidRDefault="00E46DB3" w:rsidP="00290859">
            <w:pPr>
              <w:pStyle w:val="Akapitzlist"/>
              <w:spacing w:before="120"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val="pl-PL" w:eastAsia="pl-PL"/>
              </w:rPr>
              <w:lastRenderedPageBreak/>
              <w:t>X</w:t>
            </w:r>
          </w:p>
        </w:tc>
        <w:tc>
          <w:tcPr>
            <w:tcW w:w="1417" w:type="dxa"/>
          </w:tcPr>
          <w:p w14:paraId="1A5D20AE" w14:textId="300D1409" w:rsidR="00AD6EC5" w:rsidRPr="002B2B3A" w:rsidRDefault="00AD6EC5" w:rsidP="00290859">
            <w:pPr>
              <w:pStyle w:val="Akapitzlist"/>
              <w:spacing w:before="120"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AD6EC5" w:rsidRPr="002B2B3A" w14:paraId="5B934D02" w14:textId="01BB6B69" w:rsidTr="00C35DD1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5D099A60" w14:textId="3BE48C4E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7" w:name="_Hlk179536831"/>
            <w:bookmarkEnd w:id="6"/>
            <w:r w:rsidRPr="002B2B3A">
              <w:rPr>
                <w:rFonts w:ascii="Arial" w:hAnsi="Arial" w:cs="Arial"/>
              </w:rPr>
              <w:lastRenderedPageBreak/>
              <w:t>WLWK-EECO14</w:t>
            </w:r>
          </w:p>
        </w:tc>
        <w:tc>
          <w:tcPr>
            <w:tcW w:w="1823" w:type="dxa"/>
          </w:tcPr>
          <w:p w14:paraId="54743A7A" w14:textId="4574C895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09F43FDA" w14:textId="2C0B22C8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Liczba osób obcego pochodzenia objętych </w:t>
            </w:r>
            <w:r w:rsidRPr="002B2B3A">
              <w:rPr>
                <w:rFonts w:ascii="Arial" w:hAnsi="Arial" w:cs="Arial"/>
              </w:rPr>
              <w:lastRenderedPageBreak/>
              <w:t>wsparciem w programie (osoby)</w:t>
            </w:r>
          </w:p>
        </w:tc>
        <w:tc>
          <w:tcPr>
            <w:tcW w:w="4978" w:type="dxa"/>
          </w:tcPr>
          <w:p w14:paraId="7090645A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lastRenderedPageBreak/>
              <w:t xml:space="preserve">Osoby obcego pochodzenia to cudzoziemcy - każda osoba, która nie </w:t>
            </w:r>
            <w:r w:rsidRPr="002B2B3A">
              <w:rPr>
                <w:rFonts w:ascii="Arial" w:hAnsi="Arial" w:cs="Arial"/>
              </w:rPr>
              <w:lastRenderedPageBreak/>
              <w:t xml:space="preserve">posiada polskiego obywatelstwa, bez względu na fakt posiadania lub nie obywatelstwa (obywatelstw) innych krajów. </w:t>
            </w:r>
          </w:p>
          <w:p w14:paraId="6E66C3B5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nie obejmuje osób należących do mniejszości, których udział w projektach monitorowany jest wskaźnikiem </w:t>
            </w:r>
            <w:r w:rsidRPr="002B2B3A">
              <w:rPr>
                <w:rFonts w:ascii="Arial" w:hAnsi="Arial" w:cs="Arial"/>
                <w:i/>
              </w:rPr>
              <w:t>liczba osób należących do mniejszości, w tym społeczności marginalizowanych takich jak Romowie, objętych wsparciem w programie</w:t>
            </w:r>
            <w:r w:rsidRPr="002B2B3A">
              <w:rPr>
                <w:rFonts w:ascii="Arial" w:hAnsi="Arial" w:cs="Arial"/>
              </w:rPr>
              <w:t>.</w:t>
            </w:r>
          </w:p>
          <w:p w14:paraId="776EF00F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Przynależność do grupy osób obcego pochodzenia określana jest w momencie rozpoczęcia udziału w projekcie, tj. w chwili rozpoczęcia udziału w pierwszej formie wsparcia w projekcie.</w:t>
            </w:r>
          </w:p>
          <w:p w14:paraId="75FC72A5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W przypadku, gdy fakt bycia cudzoziemcem (osobą obcego pochodzenia) jest kryterium umożliwiającym udział w danej interwencji (np. grupa docelowa wskazana została we wniosku o dofinansowanie, kryteriach wyboru projektu lub dokumentach programowych), należy dane pozyskiwać bezpośrednio od wszystkich jej uczestników. W pozostałych przypadkach dane osobowe dot. tej cechy nie muszą być zbierane od poszczególnych uczestników. Wskaźnik należy jednak monitorować, nawet w przypadku, gdy powiązane z nim dane osobowe nie są zbierane od uczestników. Beneficjent stosuje wtedy szacunki. Najlepiej, by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szacunki dotyczące uczestników obcego pochodzenia w ogólnej liczbie uczestników w podziale na płeć były uzyskiwane za pomocą metod, które można statystycznie uzasadnić. Jeśli nie jest to możliwe, należy wykorzystać tzw. wiarygodne szacunki (różne metody szacowania opisano w załączniku do Wytycznych). Wybraną metodę szacowania należy udokumentować. Uwaga: w danym projekcie może być stosowana wyłącznie jedna metoda monitorowania tego wskaźnika tj. szacowanie lub zbieranie danych osobowych dot. tego wskaźnika od uczestników.</w:t>
            </w:r>
            <w:r w:rsidRPr="002B2B3A" w:rsidDel="001852A9">
              <w:rPr>
                <w:rFonts w:ascii="Arial" w:eastAsia="Times New Roman" w:hAnsi="Arial" w:cs="Arial"/>
                <w:lang w:eastAsia="pl-PL"/>
              </w:rPr>
              <w:t xml:space="preserve"> </w:t>
            </w:r>
          </w:p>
          <w:p w14:paraId="70C7263D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Informacje dodatkowe: Wskaźnik będzie obejmował zawsze osoby </w:t>
            </w:r>
            <w:r w:rsidRPr="002B2B3A">
              <w:rPr>
                <w:rFonts w:ascii="Arial" w:hAnsi="Arial" w:cs="Arial"/>
              </w:rPr>
              <w:t xml:space="preserve">z krajów trzecich, zliczane we wskaźniku </w:t>
            </w:r>
            <w:r w:rsidRPr="002B2B3A">
              <w:rPr>
                <w:rFonts w:ascii="Arial" w:hAnsi="Arial" w:cs="Arial"/>
                <w:i/>
              </w:rPr>
              <w:t>liczba osób z krajów trzecich objętych wsparciem w programie</w:t>
            </w:r>
            <w:r w:rsidRPr="002B2B3A">
              <w:rPr>
                <w:rFonts w:ascii="Arial" w:hAnsi="Arial" w:cs="Arial"/>
              </w:rPr>
              <w:t>.</w:t>
            </w:r>
          </w:p>
          <w:p w14:paraId="7A424663" w14:textId="2312ED92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Zasady dotyczące możliwości wykorzystania wiarygodnych szacunków przez beneficjentów w danym naborze określane są przez właściwą dla programu Instytucję Zarządzającą.</w:t>
            </w:r>
          </w:p>
        </w:tc>
        <w:tc>
          <w:tcPr>
            <w:tcW w:w="1417" w:type="dxa"/>
          </w:tcPr>
          <w:p w14:paraId="3462EF7D" w14:textId="6DBF572E" w:rsidR="00AD6EC5" w:rsidRPr="000B5A54" w:rsidRDefault="00E46DB3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lastRenderedPageBreak/>
              <w:t>X</w:t>
            </w:r>
          </w:p>
        </w:tc>
        <w:tc>
          <w:tcPr>
            <w:tcW w:w="1417" w:type="dxa"/>
          </w:tcPr>
          <w:p w14:paraId="0E145777" w14:textId="67B5614F" w:rsidR="00AD6EC5" w:rsidRPr="002B2B3A" w:rsidRDefault="00AD6EC5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70C23303" w14:textId="3D6C2C2D" w:rsidTr="00102324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3CFE281C" w14:textId="2C335BEE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8" w:name="_Hlk179537226"/>
            <w:bookmarkEnd w:id="7"/>
            <w:r w:rsidRPr="002B2B3A">
              <w:rPr>
                <w:rFonts w:ascii="Arial" w:hAnsi="Arial" w:cs="Arial"/>
              </w:rPr>
              <w:lastRenderedPageBreak/>
              <w:t>WLWK-PLKLCO01</w:t>
            </w:r>
          </w:p>
        </w:tc>
        <w:tc>
          <w:tcPr>
            <w:tcW w:w="1823" w:type="dxa"/>
          </w:tcPr>
          <w:p w14:paraId="7D55809A" w14:textId="07A0DC60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54338A42" w14:textId="17B202A9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osób objętych usługami w zakresie wspierania rodziny i pieczy zastępczej (osoby)</w:t>
            </w:r>
          </w:p>
        </w:tc>
        <w:tc>
          <w:tcPr>
            <w:tcW w:w="4978" w:type="dxa"/>
          </w:tcPr>
          <w:p w14:paraId="33E786B7" w14:textId="184C5398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obejmuje osoby, które otrzymały wsparcie w postaci usług wspierania rodziny i pieczy zastępczej w ramach projektu. </w:t>
            </w:r>
          </w:p>
          <w:p w14:paraId="1B398672" w14:textId="432FBCF8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Usługi wspierania rodziny i pieczy zastępczej należy rozumieć zgodnie z definicją </w:t>
            </w:r>
            <w:r w:rsidRPr="002B2B3A">
              <w:rPr>
                <w:rFonts w:ascii="Arial" w:eastAsia="Arial" w:hAnsi="Arial" w:cs="Arial"/>
              </w:rPr>
              <w:t>usług  świadczonych</w:t>
            </w:r>
            <w:r w:rsidRPr="002B2B3A">
              <w:rPr>
                <w:rFonts w:ascii="Arial" w:hAnsi="Arial" w:cs="Arial"/>
              </w:rPr>
              <w:br/>
            </w:r>
            <w:r w:rsidRPr="002B2B3A">
              <w:rPr>
                <w:rFonts w:ascii="Arial" w:eastAsia="Arial" w:hAnsi="Arial" w:cs="Arial"/>
              </w:rPr>
              <w:lastRenderedPageBreak/>
              <w:t>w społeczności lokalnej</w:t>
            </w:r>
            <w:r w:rsidRPr="002B2B3A">
              <w:rPr>
                <w:rFonts w:ascii="Arial" w:hAnsi="Arial" w:cs="Arial"/>
              </w:rPr>
              <w:t xml:space="preserve"> wskazaną w wytycznych ministra właściwego ds. rozwoju regionalnego (w tym m.in. usługi wspierania rodziny zgodnie z ustawą z dnia 9 czerwca 2011 r. o wspieraniu rodziny i systemie pieczy zastępczej; usługi dla dzieci i młodzieży w formach dziennych i środowiskowych; usługi </w:t>
            </w:r>
            <w:proofErr w:type="spellStart"/>
            <w:r w:rsidRPr="002B2B3A">
              <w:rPr>
                <w:rFonts w:ascii="Arial" w:hAnsi="Arial" w:cs="Arial"/>
              </w:rPr>
              <w:t>preadopcyjne</w:t>
            </w:r>
            <w:proofErr w:type="spellEnd"/>
            <w:r w:rsidRPr="002B2B3A">
              <w:rPr>
                <w:rFonts w:ascii="Arial" w:hAnsi="Arial" w:cs="Arial"/>
              </w:rPr>
              <w:t xml:space="preserve"> i </w:t>
            </w:r>
            <w:proofErr w:type="spellStart"/>
            <w:r w:rsidRPr="002B2B3A">
              <w:rPr>
                <w:rFonts w:ascii="Arial" w:hAnsi="Arial" w:cs="Arial"/>
              </w:rPr>
              <w:t>postadopcyjne</w:t>
            </w:r>
            <w:proofErr w:type="spellEnd"/>
            <w:r w:rsidRPr="002B2B3A">
              <w:rPr>
                <w:rFonts w:ascii="Arial" w:hAnsi="Arial" w:cs="Arial"/>
              </w:rPr>
              <w:t>; rodzinna piecza zastępcza, rodzinne domy dziecka oraz placówki opiekuńczo-wychowawcze typu rodzinnego, o których mowa w ustawie z dnia 9 czerwca 2011 r. o wspieraniu rodziny i systemie pieczy zastępczej, a także usługi dla kandydatów do pełnienia funkcji rodzinnych form pieczy zastępczej).</w:t>
            </w:r>
          </w:p>
          <w:p w14:paraId="584BD89F" w14:textId="08E7952A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Wskaźnik mierzony w momencie objęcia danej osoby usługami w zakresie wspierania rodziny i pieczy zastępczej jakie zostały przewidziane w projekcie. Jedna osoba wykazywana jest raz w ramach wskaźnika w projekcie, niezależnie od liczby form wsparcia, z których skorzystała.</w:t>
            </w:r>
          </w:p>
        </w:tc>
        <w:tc>
          <w:tcPr>
            <w:tcW w:w="1417" w:type="dxa"/>
          </w:tcPr>
          <w:p w14:paraId="19ECAB54" w14:textId="1B6EBA4C" w:rsidR="00AD6EC5" w:rsidRPr="002B2B3A" w:rsidRDefault="00E46DB3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X</w:t>
            </w:r>
          </w:p>
        </w:tc>
        <w:tc>
          <w:tcPr>
            <w:tcW w:w="1417" w:type="dxa"/>
          </w:tcPr>
          <w:p w14:paraId="79E790D0" w14:textId="73603B35" w:rsidR="00E61A76" w:rsidRPr="002B2B3A" w:rsidRDefault="00E61A76" w:rsidP="00290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202EF508" w14:textId="43AB6CEE" w:rsidTr="00E81F99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652BDF77" w14:textId="15F5AB6A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9" w:name="_Hlk179537358"/>
            <w:bookmarkEnd w:id="8"/>
            <w:r w:rsidRPr="002B2B3A">
              <w:rPr>
                <w:rFonts w:ascii="Arial" w:hAnsi="Arial" w:cs="Arial"/>
              </w:rPr>
              <w:t>WLWK-EECO16</w:t>
            </w:r>
          </w:p>
        </w:tc>
        <w:tc>
          <w:tcPr>
            <w:tcW w:w="1823" w:type="dxa"/>
          </w:tcPr>
          <w:p w14:paraId="5F28CF4A" w14:textId="419ABAEC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3BA53BC6" w14:textId="2981D7BF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osób w kryzysie bezdomności lub dotkniętych wykluczeniem z dostępu do mieszkań, objętych wsparciem w programie (osoby)</w:t>
            </w:r>
          </w:p>
        </w:tc>
        <w:tc>
          <w:tcPr>
            <w:tcW w:w="4978" w:type="dxa"/>
          </w:tcPr>
          <w:p w14:paraId="50A13EED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We wskaźniku wykazywane są osoby w kryzysie bezdomności lub dotknięte wykluczeniem z dostępu do mieszkań.</w:t>
            </w:r>
            <w:r w:rsidRPr="002B2B3A">
              <w:rPr>
                <w:rFonts w:ascii="Arial" w:eastAsia="Times New Roman" w:hAnsi="Arial" w:cs="Arial"/>
                <w:lang w:eastAsia="pl-PL"/>
              </w:rPr>
              <w:br w:type="page"/>
            </w:r>
          </w:p>
          <w:p w14:paraId="54F7ECA1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Bezdomność i wykluczenie mieszkaniowe definiowane są zgodnie z Europejską typologią bezdomności i wykluczenia mieszkaniowego ETHOS, w której wskazuje się okoliczności życia w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bezdomności lub ekstremalne formy wykluczenia mieszkaniowego oraz ustawą z dnia 12 marca 2004 r.  o pomocy społecznej:</w:t>
            </w:r>
            <w:r w:rsidRPr="002B2B3A">
              <w:rPr>
                <w:rFonts w:ascii="Arial" w:eastAsia="Times New Roman" w:hAnsi="Arial" w:cs="Arial"/>
                <w:lang w:eastAsia="pl-PL"/>
              </w:rPr>
              <w:br w:type="page"/>
              <w:t xml:space="preserve"> </w:t>
            </w:r>
          </w:p>
          <w:p w14:paraId="463DB0DC" w14:textId="77777777" w:rsidR="00AD6EC5" w:rsidRPr="002B2B3A" w:rsidRDefault="00AD6EC5" w:rsidP="00246168">
            <w:pPr>
              <w:pStyle w:val="Akapitzlist"/>
              <w:numPr>
                <w:ilvl w:val="0"/>
                <w:numId w:val="16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Bez dachu nad głową, w tym osoby żyjące w przestrzeni publicznej lub zakwaterowane interwencyjnie;</w:t>
            </w:r>
          </w:p>
          <w:p w14:paraId="47B6AFA1" w14:textId="77777777" w:rsidR="00AD6EC5" w:rsidRPr="002B2B3A" w:rsidRDefault="00AD6EC5" w:rsidP="00246168">
            <w:pPr>
              <w:pStyle w:val="Akapitzlist"/>
              <w:numPr>
                <w:ilvl w:val="0"/>
                <w:numId w:val="16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br w:type="page"/>
              <w:t xml:space="preserve">Bez mieszkania, w tym osoby zakwaterowane w placówkach dla bezdomnych, w schroniskach dla kobiet, schroniskach dla imigrantów, osoby opuszczające instytucje penitencjarne/karne/medyczne, instytucje opiekuńcze, osoby otrzymujące długookresowe wsparcie z powodu bezdomności - specjalistyczne zakwaterowanie wspierane); </w:t>
            </w:r>
          </w:p>
          <w:p w14:paraId="467C86CF" w14:textId="77777777" w:rsidR="00AD6EC5" w:rsidRPr="002B2B3A" w:rsidRDefault="00AD6EC5" w:rsidP="00246168">
            <w:pPr>
              <w:pStyle w:val="Akapitzlist"/>
              <w:numPr>
                <w:ilvl w:val="0"/>
                <w:numId w:val="16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Niezabezpieczone zakwaterowanie, w tym osoby w lokalach niezabezpieczonych – przebywające czasowo u rodziny/przyjaciół, tj. przebywające w konwencjonalnych warunkach lokalowych, ale nie w stałym miejscu zamieszkania ze względu na brak posiadania takiego, wynajmujący nielegalnie lub nielegalnie zajmujące ziemie, osoby posiadające niepewny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najem z nakazem eksmisji, osoby zagrożone przemocą;</w:t>
            </w:r>
          </w:p>
          <w:p w14:paraId="324C8C71" w14:textId="77777777" w:rsidR="00AD6EC5" w:rsidRPr="002B2B3A" w:rsidRDefault="00AD6EC5" w:rsidP="00246168">
            <w:pPr>
              <w:pStyle w:val="Akapitzlist"/>
              <w:numPr>
                <w:ilvl w:val="0"/>
                <w:numId w:val="16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br w:type="page"/>
              <w:t xml:space="preserve">Nieodpowiednie warunki mieszkaniowe, w tym osoby zamieszkujące konstrukcje tymczasowe/nietrwałe, mieszkania </w:t>
            </w:r>
            <w:proofErr w:type="spellStart"/>
            <w:r w:rsidRPr="002B2B3A">
              <w:rPr>
                <w:rFonts w:ascii="Arial" w:eastAsia="Times New Roman" w:hAnsi="Arial" w:cs="Arial"/>
                <w:lang w:eastAsia="pl-PL"/>
              </w:rPr>
              <w:t>substandardowe</w:t>
            </w:r>
            <w:proofErr w:type="spellEnd"/>
            <w:r w:rsidRPr="002B2B3A">
              <w:rPr>
                <w:rFonts w:ascii="Arial" w:eastAsia="Times New Roman" w:hAnsi="Arial" w:cs="Arial"/>
                <w:lang w:eastAsia="pl-PL"/>
              </w:rPr>
              <w:t xml:space="preserve"> - lokale nienadające się do zamieszkania wg standardu krajowego, w warunkach skrajnego przeludnienia;</w:t>
            </w:r>
          </w:p>
          <w:p w14:paraId="3DB48B57" w14:textId="77777777" w:rsidR="00AD6EC5" w:rsidRPr="002B2B3A" w:rsidRDefault="00AD6EC5" w:rsidP="00246168">
            <w:pPr>
              <w:pStyle w:val="Akapitzlist"/>
              <w:numPr>
                <w:ilvl w:val="0"/>
                <w:numId w:val="16"/>
              </w:numPr>
              <w:spacing w:after="120" w:line="240" w:lineRule="auto"/>
              <w:ind w:left="714" w:hanging="357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Osoby niezamieszkujące w lokalu mieszkalnym w rozumieniu przepisów o ochronie praw lokatorów i mieszkaniowym zasobie gminy i niezameldowane na pobyt stały, w rozumieniu przepisów o ewidencji ludności, a także osoby niezamieszkujące w lokalu mieszkalnym i zameldowaną na pobyt stały w lokalu, w którym nie ma możliwości zamieszkania.</w:t>
            </w:r>
          </w:p>
          <w:p w14:paraId="52525C99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Osoby dorosłe mieszkające z rodzicami nie powinny być wykazywane we wskaźniku, chyba że wszystkie te osoby są w kryzysie bezdomności lub mieszkają w nieodpowiednich i niebezpiecznych warunkach.</w:t>
            </w:r>
          </w:p>
          <w:p w14:paraId="3CB74B2D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W przypadku, gdy bezdomność / wykluczenie z dostępu do mieszkań jest kryterium umożliwiającym udział w danej interwencji (np. grupa docelowa wskazana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została we wniosku o dofinansowanie, kryteriach wyboru projektu lub dokumentach programowych), należy dane pozyskiwać bezpośrednio od wszystkich jej uczestników. W pozostałych przypadkach dane osobowe dot. tej cechy nie muszą być zbierane od poszczególnych uczestników. Wskaźnik należy jednak monitorować, nawet w przypadku, gdy powiązane z nim dane osobowe nie są zbierane od uczestników. Beneficjent stosuje wtedy szacunki. Najlepiej, by szacunki dotyczące uczestników bezdomnych / wykluczonych z dostępu do mieszkań w ogólnej liczbie uczestników w podziale na płeć były uzyskiwane za pomocą metod, które można statystycznie uzasadnić. Jeśli nie jest to możliwe, należy wykorzystać tzw. wiarygodne szacunki (różne metody szacowania opisano w załączniku do Wytycznych). Wybraną metodę szacowania należy udokumentować. Uwaga: w danym projekcie może być stosowana wyłącznie jedna metoda monitorowania tego wskaźnika tj. szacowanie lub zbieranie danych osobowych dot. tego wskaźnika od uczestników.</w:t>
            </w:r>
            <w:r w:rsidRPr="002B2B3A" w:rsidDel="001852A9">
              <w:rPr>
                <w:rFonts w:ascii="Arial" w:eastAsia="Times New Roman" w:hAnsi="Arial" w:cs="Arial"/>
                <w:lang w:eastAsia="pl-PL"/>
              </w:rPr>
              <w:t xml:space="preserve"> </w:t>
            </w:r>
          </w:p>
          <w:p w14:paraId="5ECBBEE9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Przynależność do grupy osób w kryzysie bezdomności lub dotkniętych wykluczeniem z dostępu do mieszkań określana jest w momencie rozpoczęcia udziału w projekcie, tj. w chwili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 xml:space="preserve">rozpoczęcia udziału w pierwszej formie wsparcia w projekcie. </w:t>
            </w:r>
          </w:p>
          <w:p w14:paraId="4CF2F85D" w14:textId="4967C803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Zasady dotyczące możliwości wykorzystania wiarygodnych szacunków przez beneficjentów w danym naborze określane są przez właściwą dla programu Instytucję Zarządzającą</w:t>
            </w:r>
          </w:p>
        </w:tc>
        <w:tc>
          <w:tcPr>
            <w:tcW w:w="1417" w:type="dxa"/>
          </w:tcPr>
          <w:p w14:paraId="477B77FA" w14:textId="23328FB8" w:rsidR="00AD6EC5" w:rsidRPr="000B5A54" w:rsidRDefault="00614F2C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pl-PL" w:eastAsia="pl-PL"/>
              </w:rPr>
            </w:pPr>
            <w:r>
              <w:rPr>
                <w:rFonts w:ascii="Arial" w:eastAsia="Times New Roman" w:hAnsi="Arial" w:cs="Arial"/>
                <w:lang w:val="pl-PL" w:eastAsia="pl-PL"/>
              </w:rPr>
              <w:lastRenderedPageBreak/>
              <w:t>X</w:t>
            </w:r>
          </w:p>
        </w:tc>
        <w:tc>
          <w:tcPr>
            <w:tcW w:w="1417" w:type="dxa"/>
          </w:tcPr>
          <w:p w14:paraId="227EB98F" w14:textId="5CABD79D" w:rsidR="00AD6EC5" w:rsidRPr="002B2B3A" w:rsidRDefault="00AD6EC5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AD6EC5" w:rsidRPr="002B2B3A" w14:paraId="50AA06E6" w14:textId="72A16748" w:rsidTr="00D62900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447B074D" w14:textId="4CB99658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10" w:name="_Hlk179537410"/>
            <w:bookmarkEnd w:id="9"/>
            <w:r w:rsidRPr="002B2B3A">
              <w:rPr>
                <w:rFonts w:ascii="Arial" w:hAnsi="Arial" w:cs="Arial"/>
              </w:rPr>
              <w:lastRenderedPageBreak/>
              <w:t>WLWK-EECO13</w:t>
            </w:r>
          </w:p>
        </w:tc>
        <w:tc>
          <w:tcPr>
            <w:tcW w:w="1823" w:type="dxa"/>
          </w:tcPr>
          <w:p w14:paraId="3ED3F52E" w14:textId="1D07419B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6471C83D" w14:textId="206746FD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osób z krajów trzecich objętych wsparciem w programie (osoby)</w:t>
            </w:r>
          </w:p>
        </w:tc>
        <w:tc>
          <w:tcPr>
            <w:tcW w:w="4978" w:type="dxa"/>
          </w:tcPr>
          <w:p w14:paraId="441A17ED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Osoby, które są obywatelami krajów spoza UE. Do wskaźnika wlicza się też bezpaństwowców zgodnie z Konwencją o statusie bezpaństwowców z 1954 r. i osoby bez ustalonego obywatelstwa. </w:t>
            </w:r>
          </w:p>
          <w:p w14:paraId="3814BB43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Przynależność do grupy osób z krajów trzecich określana jest w momencie rozpoczęcia udziału w projekcie, tj. w chwili rozpoczęcia udziału w pierwszej formie wsparcia w projekcie.</w:t>
            </w:r>
          </w:p>
          <w:p w14:paraId="0E60BCDB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W przypadku, gdy obywatelstwo państw trzecich jest kryterium umożliwiającym udział w danej interwencji (np. grupa docelowa wskazana została we wniosku o dofinansowanie, kryteriach wyboru projektu lub dokumentach programowych), należy dane pozyskiwać bezpośrednio od wszystkich jej uczestników. W pozostałych przypadkach dane osobowe dot. tej cechy nie muszą być zbierane od poszczególnych uczestników. Wskaźnik należy jednak monitorować, nawet w przypadku, gdy powiązane z nim dane osobowe nie są zbierane od uczestników. Beneficjent stosuje wtedy szacunki. Najlepiej, by szacunki dotyczące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uczestników z krajów trzecich w ogólnej liczbie uczestników w podziale na płeć były uzyskiwane za pomocą metod, które można statystycznie uzasadnić. Jeśli nie jest to możliwe, należy wykorzystać tzw. wiarygodne szacunki (różne metody szacowania opisano w załączniku do Wytycznych). Wybraną metodę szacowania należy udokumentować. Uwaga: w danym projekcie może być stosowana wyłącznie jedna metoda monitorowania tego wskaźnika tj. szacowanie lub zbieranie danych osobowych dot. tego wskaźnika od uczestników.</w:t>
            </w:r>
            <w:r w:rsidRPr="002B2B3A" w:rsidDel="001852A9">
              <w:rPr>
                <w:rFonts w:ascii="Arial" w:eastAsia="Times New Roman" w:hAnsi="Arial" w:cs="Arial"/>
                <w:lang w:eastAsia="pl-PL"/>
              </w:rPr>
              <w:t xml:space="preserve"> </w:t>
            </w:r>
          </w:p>
          <w:p w14:paraId="7C1BC6E4" w14:textId="3039C3EC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Zasady dotyczące możliwości wykorzystania wiarygodnych szacunków przez beneficjentów w danym naborze określane są przez właściwą dla programu Instytucję Zarządzającą.</w:t>
            </w:r>
          </w:p>
        </w:tc>
        <w:tc>
          <w:tcPr>
            <w:tcW w:w="1417" w:type="dxa"/>
          </w:tcPr>
          <w:p w14:paraId="3F7ADEAE" w14:textId="65C05C3C" w:rsidR="00AD6EC5" w:rsidRPr="00BA03A2" w:rsidRDefault="00614F2C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lastRenderedPageBreak/>
              <w:t>X</w:t>
            </w:r>
          </w:p>
        </w:tc>
        <w:tc>
          <w:tcPr>
            <w:tcW w:w="1417" w:type="dxa"/>
          </w:tcPr>
          <w:p w14:paraId="3504282C" w14:textId="0C9EB463" w:rsidR="00AD6EC5" w:rsidRPr="002B2B3A" w:rsidRDefault="00AD6EC5" w:rsidP="00290859">
            <w:pPr>
              <w:pStyle w:val="Akapitzlist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169C996D" w14:textId="7B85F2ED" w:rsidTr="007B108D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5D778F4" w14:textId="09B7B3E5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11" w:name="_Hlk179537447"/>
            <w:bookmarkEnd w:id="10"/>
            <w:r w:rsidRPr="002B2B3A">
              <w:rPr>
                <w:rFonts w:ascii="Arial" w:hAnsi="Arial" w:cs="Arial"/>
              </w:rPr>
              <w:t>WLWK-EECO12</w:t>
            </w:r>
          </w:p>
        </w:tc>
        <w:tc>
          <w:tcPr>
            <w:tcW w:w="1823" w:type="dxa"/>
          </w:tcPr>
          <w:p w14:paraId="5647E27C" w14:textId="608CE43B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1EC89194" w14:textId="4DB05AB8" w:rsidR="00AD6EC5" w:rsidRPr="002B2B3A" w:rsidRDefault="00AD6EC5" w:rsidP="00883B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osób z niepełnosprawnościami objętych wsparciem w programie (osoby)</w:t>
            </w:r>
          </w:p>
        </w:tc>
        <w:tc>
          <w:tcPr>
            <w:tcW w:w="4978" w:type="dxa"/>
          </w:tcPr>
          <w:p w14:paraId="0313EFF7" w14:textId="77777777" w:rsidR="00AD6EC5" w:rsidRPr="002B2B3A" w:rsidRDefault="00AD6EC5" w:rsidP="00246168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 xml:space="preserve">Za osoby z niepełnosprawnościami uznaje się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      </w:r>
          </w:p>
          <w:p w14:paraId="2EE9912D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517338E6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Przynależność do grupy osób z niepełnosprawnościami określana jest w momencie rozpoczęcia udziału w projekcie, tj. w chwili rozpoczęcia udziału w pierwszej formie wsparcia w projekcie.</w:t>
            </w:r>
          </w:p>
          <w:p w14:paraId="4C5AC052" w14:textId="343D144F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W przypadku, gdy niepełnosprawność jest kryterium umożliwiającym udział w danej interwencji (np. grupa docelowa wskazana została we wniosku o dofinansowanie, kryteriach wyboru projektu lub dokumentach programowych), należy dane pozyskiwać bezpośrednio od wszystkich jej uczestników. W</w:t>
            </w:r>
            <w:r w:rsidR="00C70372">
              <w:rPr>
                <w:rFonts w:ascii="Arial" w:eastAsia="Times New Roman" w:hAnsi="Arial" w:cs="Arial"/>
                <w:lang w:eastAsia="pl-PL"/>
              </w:rPr>
              <w:t> </w:t>
            </w:r>
            <w:r w:rsidRPr="002B2B3A">
              <w:rPr>
                <w:rFonts w:ascii="Arial" w:eastAsia="Times New Roman" w:hAnsi="Arial" w:cs="Arial"/>
                <w:lang w:eastAsia="pl-PL"/>
              </w:rPr>
              <w:t xml:space="preserve">pozostałych przypadkach dane osobowe dot. tej cechy nie muszą być zbierane od poszczególnych uczestników. Wskaźnik należy jednak monitorować, nawet w przypadku, gdy powiązane z nim dane </w:t>
            </w:r>
            <w:r w:rsidRPr="002B2B3A">
              <w:rPr>
                <w:rFonts w:ascii="Arial" w:eastAsia="Times New Roman" w:hAnsi="Arial" w:cs="Arial"/>
                <w:lang w:eastAsia="pl-PL"/>
              </w:rPr>
              <w:lastRenderedPageBreak/>
              <w:t>osobowe nie są zbierane od uczestników. Beneficjent stosuje wtedy szacunki. Najlepiej, by szacunki dotyczące uczestników z niepełnosprawnościami w ogólnej liczbie uczestników w podziale na płeć były uzyskiwane za pomocą metod, które można statystycznie uzasadnić. Jeśli nie jest to możliwe, należy wykorzystać tzw. wiarygodne szacunki (różne metody szacowania opisano w</w:t>
            </w:r>
            <w:r w:rsidR="00C70372">
              <w:rPr>
                <w:rFonts w:ascii="Arial" w:eastAsia="Times New Roman" w:hAnsi="Arial" w:cs="Arial"/>
                <w:lang w:eastAsia="pl-PL"/>
              </w:rPr>
              <w:t> </w:t>
            </w:r>
            <w:r w:rsidRPr="002B2B3A">
              <w:rPr>
                <w:rFonts w:ascii="Arial" w:eastAsia="Times New Roman" w:hAnsi="Arial" w:cs="Arial"/>
                <w:lang w:eastAsia="pl-PL"/>
              </w:rPr>
              <w:t>załączniku do Wytycznych monitorowania). Wybraną metodę szacowania należy udokumentować. Uwaga: w danym projekcie może być stosowana wyłącznie jedna metoda monitorowania tego wskaźnika tj. szacowanie lub zbieranie danych osobowych dot. tego wskaźnika od uczestników.</w:t>
            </w:r>
            <w:r w:rsidRPr="002B2B3A" w:rsidDel="001852A9">
              <w:rPr>
                <w:rFonts w:ascii="Arial" w:eastAsia="Times New Roman" w:hAnsi="Arial" w:cs="Arial"/>
                <w:lang w:eastAsia="pl-PL"/>
              </w:rPr>
              <w:t xml:space="preserve"> </w:t>
            </w:r>
          </w:p>
          <w:p w14:paraId="0F85AF23" w14:textId="5090F1CA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Zasady dotyczące możliwości wykorzystania wiarygodnych szacunków przez beneficjentów w danym naborze określane są przez właściwą dla programu Instytucję Zarządzającą.</w:t>
            </w:r>
          </w:p>
        </w:tc>
        <w:tc>
          <w:tcPr>
            <w:tcW w:w="1417" w:type="dxa"/>
          </w:tcPr>
          <w:p w14:paraId="6AF92433" w14:textId="1F9F5433" w:rsidR="00AD6EC5" w:rsidRPr="002B2B3A" w:rsidRDefault="00614F2C" w:rsidP="00290859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lastRenderedPageBreak/>
              <w:t>X</w:t>
            </w:r>
          </w:p>
        </w:tc>
        <w:tc>
          <w:tcPr>
            <w:tcW w:w="1417" w:type="dxa"/>
          </w:tcPr>
          <w:p w14:paraId="5CC57139" w14:textId="16A5A009" w:rsidR="00AD6EC5" w:rsidRPr="002B2B3A" w:rsidRDefault="00AD6EC5" w:rsidP="00290859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AD6EC5" w:rsidRPr="002B2B3A" w14:paraId="123BD01C" w14:textId="1D956CC1" w:rsidTr="007C0D08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10B6978F" w14:textId="1781F03D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12" w:name="_Hlk179537506"/>
            <w:bookmarkEnd w:id="11"/>
            <w:r w:rsidRPr="002B2B3A">
              <w:rPr>
                <w:rFonts w:ascii="Arial" w:hAnsi="Arial" w:cs="Arial"/>
              </w:rPr>
              <w:lastRenderedPageBreak/>
              <w:t>WLWK-PL0CO01</w:t>
            </w:r>
          </w:p>
        </w:tc>
        <w:tc>
          <w:tcPr>
            <w:tcW w:w="1823" w:type="dxa"/>
          </w:tcPr>
          <w:p w14:paraId="47E0FBD3" w14:textId="350FEC91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1D29B44E" w14:textId="717EE879" w:rsidR="00AD6EC5" w:rsidRPr="002B2B3A" w:rsidRDefault="00AD6EC5" w:rsidP="00883B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projektów, w których sfinansowano koszty racjonalnych usprawnień dla osób</w:t>
            </w:r>
            <w:r w:rsidR="0064466D">
              <w:rPr>
                <w:rFonts w:ascii="Arial" w:hAnsi="Arial" w:cs="Arial"/>
              </w:rPr>
              <w:t xml:space="preserve"> z niepełnosprawnościami (szt.</w:t>
            </w:r>
            <w:r w:rsidRPr="002B2B3A">
              <w:rPr>
                <w:rFonts w:ascii="Arial" w:hAnsi="Arial" w:cs="Arial"/>
              </w:rPr>
              <w:t>)</w:t>
            </w:r>
          </w:p>
        </w:tc>
        <w:tc>
          <w:tcPr>
            <w:tcW w:w="4978" w:type="dxa"/>
          </w:tcPr>
          <w:p w14:paraId="7E11DBAB" w14:textId="77777777" w:rsidR="00AD6EC5" w:rsidRPr="002B2B3A" w:rsidRDefault="00AD6EC5" w:rsidP="002461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Racjonalne usprawnienie oznacza konieczne i odpowiednie zmiany oraz dostosowania, nie nakładające nieproporcjonalnego lub nadmiernego obciążenia, rozpatrywane osobno dla każdego konkretnego przypadku, w celu zapewnienia osobom z niepełnosprawnościami możliwości korzystania z wszelkich praw człowieka i podstawowych wolności oraz ich </w:t>
            </w:r>
            <w:r w:rsidRPr="002B2B3A">
              <w:rPr>
                <w:rFonts w:ascii="Arial" w:hAnsi="Arial" w:cs="Arial"/>
              </w:rPr>
              <w:lastRenderedPageBreak/>
              <w:t>wykonywania na zasadzie równości z innymi osobami</w:t>
            </w:r>
          </w:p>
          <w:p w14:paraId="0E2532D9" w14:textId="77777777" w:rsidR="00AD6EC5" w:rsidRPr="002B2B3A" w:rsidRDefault="00AD6EC5" w:rsidP="002461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Wskaźnik mierzony jest w momencie rozliczenia wydatku związanego z racjonalnymi usprawnieniami w ramach danego projektu. Tym samym, jego wartość początkowa wynosi 0.</w:t>
            </w:r>
          </w:p>
          <w:p w14:paraId="441C6EE5" w14:textId="77777777" w:rsidR="00AD6EC5" w:rsidRPr="002B2B3A" w:rsidRDefault="00AD6EC5" w:rsidP="002461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Przykłady racjonalnych usprawnień: tłumacz języka migowego, transport niskopodłogowy, dostosowanie infrastruktury (nie tylko budynku, ale też dostosowanie infrastruktury komputerowej np. programy powiększające, mówiące, drukarki materiałów w alfabecie Braille'a), osoby asystujące,.</w:t>
            </w:r>
          </w:p>
          <w:p w14:paraId="11D72CA6" w14:textId="77777777" w:rsidR="00AD6EC5" w:rsidRPr="002B2B3A" w:rsidRDefault="00AD6EC5" w:rsidP="002461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Do wskaźnika powinny zostać wliczone zarówno projekty ogólnodostępne, w których sfinansowano koszty racjonalnych usprawnień, jak i te ukierunkowane na zwalczanie i zapobieganie wszelkim formom dyskryminacji w stosunku do osób na nią narażonych, a także zwiększanie dostępności dla osób z niepełnosprawnościami. </w:t>
            </w:r>
          </w:p>
          <w:p w14:paraId="06D88D89" w14:textId="77777777" w:rsidR="00AD6EC5" w:rsidRPr="002B2B3A" w:rsidRDefault="00AD6EC5" w:rsidP="002461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Na poziomie projektu wskaźnik może przyjmować maksymalną wartość 1 - co oznacza jeden projekt, w którym sfinansowano koszty racjonalnych usprawnień dla osób z niepełnosprawnościami. Liczba sfinansowanych racjonalnych usprawnień, </w:t>
            </w:r>
            <w:r w:rsidRPr="002B2B3A">
              <w:rPr>
                <w:rFonts w:ascii="Arial" w:hAnsi="Arial" w:cs="Arial"/>
              </w:rPr>
              <w:lastRenderedPageBreak/>
              <w:t>w ramach projektu, nie ma znaczenia dla wartości wykazywanej we wskaźniku.</w:t>
            </w:r>
          </w:p>
          <w:p w14:paraId="63F6E854" w14:textId="3CBA8135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Definicja na podstawie: </w:t>
            </w:r>
            <w:r w:rsidRPr="002B2B3A">
              <w:rPr>
                <w:rFonts w:ascii="Arial" w:hAnsi="Arial" w:cs="Arial"/>
                <w:i/>
                <w:iCs/>
              </w:rPr>
              <w:t xml:space="preserve">Wytyczne w zakresie realizacji zasad równościowych w ramach </w:t>
            </w:r>
            <w:r w:rsidRPr="002B2B3A">
              <w:rPr>
                <w:rFonts w:ascii="Arial" w:hAnsi="Arial" w:cs="Arial"/>
              </w:rPr>
              <w:t>funduszy</w:t>
            </w:r>
            <w:r w:rsidRPr="002B2B3A">
              <w:rPr>
                <w:rFonts w:ascii="Arial" w:hAnsi="Arial" w:cs="Arial"/>
                <w:i/>
                <w:iCs/>
              </w:rPr>
              <w:t xml:space="preserve"> unijnych na lata 2021-2027</w:t>
            </w:r>
            <w:r w:rsidRPr="002B2B3A">
              <w:rPr>
                <w:rFonts w:ascii="Arial" w:hAnsi="Arial" w:cs="Arial"/>
              </w:rPr>
              <w:t>.</w:t>
            </w:r>
          </w:p>
        </w:tc>
        <w:tc>
          <w:tcPr>
            <w:tcW w:w="1417" w:type="dxa"/>
          </w:tcPr>
          <w:p w14:paraId="7A5E5E33" w14:textId="3E6DD94E" w:rsidR="00AD6EC5" w:rsidRPr="002B2B3A" w:rsidRDefault="00614F2C" w:rsidP="00290859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X</w:t>
            </w:r>
          </w:p>
        </w:tc>
        <w:tc>
          <w:tcPr>
            <w:tcW w:w="1417" w:type="dxa"/>
          </w:tcPr>
          <w:p w14:paraId="0879E1D0" w14:textId="1208E5A3" w:rsidR="00AD6EC5" w:rsidRPr="002B2B3A" w:rsidRDefault="00AD6EC5" w:rsidP="00290859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bookmarkEnd w:id="12"/>
      <w:tr w:rsidR="00AD6EC5" w:rsidRPr="002B2B3A" w14:paraId="29834E98" w14:textId="46D896CB" w:rsidTr="007947D4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1BAB83BD" w14:textId="0DFD2FA1" w:rsidR="00AD6EC5" w:rsidRPr="002B2B3A" w:rsidRDefault="00AD6EC5" w:rsidP="00CF3FDB">
            <w:pPr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lastRenderedPageBreak/>
              <w:t>WLWK-PL0CO03</w:t>
            </w:r>
          </w:p>
        </w:tc>
        <w:tc>
          <w:tcPr>
            <w:tcW w:w="1823" w:type="dxa"/>
          </w:tcPr>
          <w:p w14:paraId="1DE99AAA" w14:textId="73C6B80B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25DF3DA8" w14:textId="156C0635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Ludność objęta projektami w ramach strategii zintegrowanego rozwoju terytorialnego (osoby)</w:t>
            </w:r>
          </w:p>
        </w:tc>
        <w:tc>
          <w:tcPr>
            <w:tcW w:w="4978" w:type="dxa"/>
          </w:tcPr>
          <w:p w14:paraId="004D1DF7" w14:textId="4F0C30BF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Liczba osób objętych projektami wspieranymi przez fundusze w ramach strategii zintegrowanego rozwoju terytorialnego.</w:t>
            </w:r>
          </w:p>
        </w:tc>
        <w:tc>
          <w:tcPr>
            <w:tcW w:w="1417" w:type="dxa"/>
          </w:tcPr>
          <w:p w14:paraId="12B72C43" w14:textId="173668B2" w:rsidR="00AD6EC5" w:rsidRPr="002B2B3A" w:rsidRDefault="00614F2C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417" w:type="dxa"/>
          </w:tcPr>
          <w:p w14:paraId="7E1DC65B" w14:textId="43CFB748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0DF9A70B" w14:textId="574F7E61" w:rsidTr="00DF2384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2D6AEA19" w14:textId="20E043E2" w:rsidR="00AD6EC5" w:rsidRPr="002B2B3A" w:rsidRDefault="00AD6EC5" w:rsidP="00CF3FDB">
            <w:pPr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WLWK-PL0CO04</w:t>
            </w:r>
          </w:p>
        </w:tc>
        <w:tc>
          <w:tcPr>
            <w:tcW w:w="1823" w:type="dxa"/>
          </w:tcPr>
          <w:p w14:paraId="79A390E1" w14:textId="772CCA60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produktu  </w:t>
            </w:r>
          </w:p>
        </w:tc>
        <w:tc>
          <w:tcPr>
            <w:tcW w:w="3382" w:type="dxa"/>
          </w:tcPr>
          <w:p w14:paraId="12F9F2BD" w14:textId="33631615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Wspierane strategie rozwoju lokalnego kiero</w:t>
            </w:r>
            <w:r w:rsidR="0064466D">
              <w:rPr>
                <w:rFonts w:ascii="Arial" w:hAnsi="Arial" w:cs="Arial"/>
              </w:rPr>
              <w:t>wanego przez społeczność (szt.</w:t>
            </w:r>
            <w:r w:rsidRPr="002B2B3A">
              <w:rPr>
                <w:rFonts w:ascii="Arial" w:hAnsi="Arial" w:cs="Arial"/>
              </w:rPr>
              <w:t>)</w:t>
            </w:r>
          </w:p>
        </w:tc>
        <w:tc>
          <w:tcPr>
            <w:tcW w:w="4978" w:type="dxa"/>
          </w:tcPr>
          <w:p w14:paraId="19E1FED3" w14:textId="0109382D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Liczba wkładów w strategie rozwoju lokalnego kierowanego przez społeczność według każdego celu szczegółowego wnoszonych z funduszy zgodnie z art. 28 lit. b) CPR. Wartości wskaźnika uwzględniają, zatem, na poziomie celu szczegółowego, oddzielną liczbę wkładów finansowych w strategie RLKS.</w:t>
            </w:r>
          </w:p>
        </w:tc>
        <w:tc>
          <w:tcPr>
            <w:tcW w:w="1417" w:type="dxa"/>
          </w:tcPr>
          <w:p w14:paraId="2DB46FE2" w14:textId="1D5B2299" w:rsidR="00AD6EC5" w:rsidRPr="002B2B3A" w:rsidRDefault="00614F2C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417" w:type="dxa"/>
          </w:tcPr>
          <w:p w14:paraId="1FB029AE" w14:textId="35698F8A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6EC5" w:rsidRPr="002B2B3A" w14:paraId="6C8F8EED" w14:textId="443BB4E7" w:rsidTr="00267106">
        <w:trPr>
          <w:trHeight w:val="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</w:tcPr>
          <w:p w14:paraId="55151168" w14:textId="66FEB59C" w:rsidR="00AD6EC5" w:rsidRPr="002B2B3A" w:rsidRDefault="00AD6EC5" w:rsidP="00CF3FDB">
            <w:pPr>
              <w:rPr>
                <w:rFonts w:ascii="Arial" w:hAnsi="Arial" w:cs="Arial"/>
              </w:rPr>
            </w:pPr>
            <w:bookmarkStart w:id="13" w:name="_Hlk179537602"/>
            <w:r w:rsidRPr="002B2B3A">
              <w:rPr>
                <w:rFonts w:ascii="Arial" w:hAnsi="Arial" w:cs="Arial"/>
              </w:rPr>
              <w:t>WLWK-PLKLCR06</w:t>
            </w:r>
          </w:p>
        </w:tc>
        <w:tc>
          <w:tcPr>
            <w:tcW w:w="1823" w:type="dxa"/>
          </w:tcPr>
          <w:p w14:paraId="2449B2E0" w14:textId="1E250DE6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rezultatu </w:t>
            </w:r>
          </w:p>
        </w:tc>
        <w:tc>
          <w:tcPr>
            <w:tcW w:w="3382" w:type="dxa"/>
          </w:tcPr>
          <w:p w14:paraId="3A600B06" w14:textId="35748893" w:rsidR="00AD6EC5" w:rsidRPr="002B2B3A" w:rsidRDefault="00AD6EC5" w:rsidP="00CF3F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Liczba utworzonych w programie miejsc świadczenia usług wspierania rodziny i pieczy zastępczej istniejących</w:t>
            </w:r>
            <w:r w:rsidR="0064466D">
              <w:rPr>
                <w:rFonts w:ascii="Arial" w:hAnsi="Arial" w:cs="Arial"/>
              </w:rPr>
              <w:t xml:space="preserve"> po zakończeniu projektu (szt.</w:t>
            </w:r>
            <w:r w:rsidRPr="002B2B3A">
              <w:rPr>
                <w:rFonts w:ascii="Arial" w:hAnsi="Arial" w:cs="Arial"/>
              </w:rPr>
              <w:t>)</w:t>
            </w:r>
          </w:p>
        </w:tc>
        <w:tc>
          <w:tcPr>
            <w:tcW w:w="4978" w:type="dxa"/>
          </w:tcPr>
          <w:p w14:paraId="4C64A0DF" w14:textId="77777777" w:rsidR="00AD6EC5" w:rsidRPr="002B2B3A" w:rsidRDefault="00AD6EC5" w:rsidP="00246168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lang w:eastAsia="pl-PL"/>
              </w:rPr>
            </w:pPr>
            <w:r w:rsidRPr="002B2B3A">
              <w:rPr>
                <w:rFonts w:ascii="Arial" w:eastAsia="Times New Roman" w:hAnsi="Arial" w:cs="Arial"/>
                <w:lang w:eastAsia="pl-PL"/>
              </w:rPr>
              <w:t>Zakres świadczonych usług określony jest w wytycznych ministra właściwego ds. rozwoju regionalnego.</w:t>
            </w:r>
          </w:p>
          <w:p w14:paraId="4B7C5AF6" w14:textId="77777777" w:rsidR="00AD6EC5" w:rsidRPr="002B2B3A" w:rsidRDefault="00AD6EC5" w:rsidP="00246168">
            <w:pPr>
              <w:pStyle w:val="Akapitzlist"/>
              <w:spacing w:after="120" w:line="240" w:lineRule="auto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Wskaźnik mierzy liczbę nowoutworzonych miejsc świadczenia usług wsparcia rodziny i pieczy zastępczej: </w:t>
            </w:r>
          </w:p>
          <w:p w14:paraId="7CBA61EF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 xml:space="preserve">liczbę asystentów rodziny, </w:t>
            </w:r>
          </w:p>
          <w:p w14:paraId="154C1479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odnośnie konsultacji i poradnictwa specjalistycznego, interwencji kryzysowej, terapii i mediacji, usług dla rodzin z dziećmi, pomocy prawnej – liczbę specjalistów np. pedagogów, psychologów,</w:t>
            </w:r>
          </w:p>
          <w:p w14:paraId="22BA292B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lastRenderedPageBreak/>
              <w:t>liczbę grup samopomocowych i grup wsparcia,</w:t>
            </w:r>
          </w:p>
          <w:p w14:paraId="5ACA2DD6" w14:textId="77777777" w:rsidR="00AD6EC5" w:rsidRPr="00BD77A0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D77A0">
              <w:rPr>
                <w:rFonts w:ascii="Arial" w:hAnsi="Arial" w:cs="Arial"/>
              </w:rPr>
              <w:t>liczbę miejsc w placówkach wsparcia dziennego (w przypadku pracy podwórkowej – liczbę wychowawców),</w:t>
            </w:r>
          </w:p>
          <w:p w14:paraId="194D5511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rodzin wspierających,</w:t>
            </w:r>
          </w:p>
          <w:p w14:paraId="46C53D59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rodzin zastępczych (spokrewnionych, niezawodowych),</w:t>
            </w:r>
          </w:p>
          <w:p w14:paraId="17CF66D0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rodzin-kandydatów na rodziny zastępcze (spokrewnione, niezawodowe),</w:t>
            </w:r>
          </w:p>
          <w:p w14:paraId="0AA7E71F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miejsc w rodzinach zastępczych zawodowych,</w:t>
            </w:r>
          </w:p>
          <w:p w14:paraId="665A5485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maksymalną liczbę miejsc możliwych do utworzenia w rodzinie-kandydacie na rodzinę zastępczą zawodową,</w:t>
            </w:r>
          </w:p>
          <w:p w14:paraId="32695E5D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koordynatorów rodzinnej pieczy zastępczej,</w:t>
            </w:r>
          </w:p>
          <w:p w14:paraId="0F55ECC8" w14:textId="77777777" w:rsidR="00AD6EC5" w:rsidRPr="002B2B3A" w:rsidRDefault="00AD6EC5" w:rsidP="00246168">
            <w:pPr>
              <w:pStyle w:val="Akapitzlist"/>
              <w:numPr>
                <w:ilvl w:val="0"/>
                <w:numId w:val="17"/>
              </w:numPr>
              <w:spacing w:after="120" w:line="240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B2B3A">
              <w:rPr>
                <w:rFonts w:ascii="Arial" w:hAnsi="Arial" w:cs="Arial"/>
              </w:rPr>
              <w:t>liczbę miejsc w rodzinnych domach dziecka i placówkach opiekuńczo-wychowawczych typu rodzinnego.</w:t>
            </w:r>
          </w:p>
          <w:p w14:paraId="1193C23E" w14:textId="6E6963B5" w:rsidR="00AD6EC5" w:rsidRPr="002B2B3A" w:rsidRDefault="00AD6EC5" w:rsidP="002461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 w:rsidRPr="002B2B3A">
              <w:rPr>
                <w:rFonts w:ascii="Arial" w:hAnsi="Arial" w:cs="Arial"/>
              </w:rPr>
              <w:t>Wskaźnik mierzony w ciągu 4 tygodni od zakończenia projektu.</w:t>
            </w:r>
          </w:p>
        </w:tc>
        <w:tc>
          <w:tcPr>
            <w:tcW w:w="1417" w:type="dxa"/>
          </w:tcPr>
          <w:p w14:paraId="7CD705E3" w14:textId="77777777" w:rsidR="00AD6EC5" w:rsidRPr="002B2B3A" w:rsidRDefault="00AD6EC5" w:rsidP="002B2B3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417" w:type="dxa"/>
          </w:tcPr>
          <w:p w14:paraId="4197E0B4" w14:textId="4C4B0852" w:rsidR="00AD6EC5" w:rsidRPr="002B2B3A" w:rsidRDefault="00614F2C" w:rsidP="002B2B3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W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skaźnik </w:t>
            </w:r>
            <w:r>
              <w:rPr>
                <w:rFonts w:ascii="Arial" w:eastAsia="Times New Roman" w:hAnsi="Arial" w:cs="Arial"/>
                <w:lang w:eastAsia="pl-PL"/>
              </w:rPr>
              <w:t>należy wykazać we wniosku o dofinansowanie jeśli jest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adekwatn</w:t>
            </w:r>
            <w:r>
              <w:rPr>
                <w:rFonts w:ascii="Arial" w:eastAsia="Times New Roman" w:hAnsi="Arial" w:cs="Arial"/>
                <w:lang w:eastAsia="pl-PL"/>
              </w:rPr>
              <w:t>y</w:t>
            </w:r>
            <w:r w:rsidRPr="000C2A61">
              <w:rPr>
                <w:rFonts w:ascii="Arial" w:eastAsia="Times New Roman" w:hAnsi="Arial" w:cs="Arial"/>
                <w:lang w:eastAsia="pl-PL"/>
              </w:rPr>
              <w:t xml:space="preserve"> do planowanego w projekcie zakresu wsparcia i grupy docelowej </w:t>
            </w:r>
          </w:p>
        </w:tc>
      </w:tr>
      <w:bookmarkEnd w:id="13"/>
    </w:tbl>
    <w:p w14:paraId="1A6A7743" w14:textId="06AA48A5" w:rsidR="001F1785" w:rsidRDefault="001F1785" w:rsidP="001F1785">
      <w:pPr>
        <w:rPr>
          <w:rFonts w:ascii="Arial" w:hAnsi="Arial" w:cs="Arial"/>
          <w:b/>
          <w:bCs/>
          <w:sz w:val="24"/>
        </w:rPr>
      </w:pPr>
    </w:p>
    <w:p w14:paraId="046135EB" w14:textId="226F144C" w:rsidR="001F1785" w:rsidRPr="00775F48" w:rsidRDefault="001F1785" w:rsidP="00246168">
      <w:pPr>
        <w:pStyle w:val="Nagwek3"/>
      </w:pPr>
      <w:r w:rsidRPr="00246168">
        <w:t>UWAGA</w:t>
      </w:r>
      <w:r w:rsidRPr="00775F48">
        <w:t xml:space="preserve"> </w:t>
      </w:r>
    </w:p>
    <w:p w14:paraId="205E2A93" w14:textId="77777777" w:rsidR="001F1785" w:rsidRPr="00CD7D48" w:rsidRDefault="001F1785" w:rsidP="001F1785">
      <w:pPr>
        <w:rPr>
          <w:rFonts w:ascii="Arial" w:hAnsi="Arial" w:cs="Arial"/>
          <w:b/>
          <w:bCs/>
          <w:u w:val="single"/>
        </w:rPr>
      </w:pPr>
      <w:r w:rsidRPr="00CD7D48">
        <w:rPr>
          <w:rFonts w:ascii="Arial" w:hAnsi="Arial" w:cs="Arial"/>
          <w:b/>
          <w:bCs/>
          <w:u w:val="single"/>
        </w:rPr>
        <w:lastRenderedPageBreak/>
        <w:t>1.</w:t>
      </w:r>
      <w:r w:rsidRPr="00CD7D48">
        <w:rPr>
          <w:rFonts w:ascii="Arial" w:hAnsi="Arial" w:cs="Arial"/>
          <w:b/>
          <w:bCs/>
          <w:u w:val="single"/>
        </w:rPr>
        <w:tab/>
        <w:t>Wskaźniki monitorowane we wszystkich CS:</w:t>
      </w:r>
    </w:p>
    <w:p w14:paraId="579417B4" w14:textId="77777777" w:rsidR="001F1785" w:rsidRDefault="001F1785" w:rsidP="001F1785">
      <w:pPr>
        <w:pStyle w:val="Akapitzlist"/>
        <w:numPr>
          <w:ilvl w:val="0"/>
          <w:numId w:val="19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projektów, w których sfinansowano koszty racjonalnych usprawnień dla osób z niepełnosprawnościami PL0CO01,</w:t>
      </w:r>
    </w:p>
    <w:p w14:paraId="675E271C" w14:textId="77777777" w:rsidR="001F1785" w:rsidRPr="00CD7D48" w:rsidRDefault="001F1785" w:rsidP="001F1785">
      <w:pPr>
        <w:pStyle w:val="Akapitzlist"/>
        <w:numPr>
          <w:ilvl w:val="0"/>
          <w:numId w:val="19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obiektów dostosowanych do potrzeb osób z niepełnosprawnościami PL0CO02.</w:t>
      </w:r>
    </w:p>
    <w:p w14:paraId="3FCC1C96" w14:textId="4DB1981D" w:rsidR="001F1785" w:rsidRPr="00CD7D48" w:rsidRDefault="001F1785" w:rsidP="00D2541F">
      <w:pPr>
        <w:rPr>
          <w:rFonts w:ascii="Arial" w:hAnsi="Arial" w:cs="Arial"/>
        </w:rPr>
      </w:pPr>
      <w:r w:rsidRPr="00CD7D48">
        <w:rPr>
          <w:rFonts w:ascii="Arial" w:hAnsi="Arial" w:cs="Arial"/>
        </w:rPr>
        <w:t xml:space="preserve">Zaleca się aby wskaźnik Liczba projektów, w których sfinansowano koszty racjonalnych usprawnień dla osób z niepełnosprawnościami PL0CO01 był wybierany każdorazowo na etapie planowania wniosku o dofinasowanie z wartością docelową „0”, a na etapie realizacji projektu we wnioskach o płatność należy odnotowywać jego faktyczną realizację. Natomiast wskaźnik Liczba obiektów dostosowanych do potrzeb osób z niepełnosprawnościami PL0CO02, wybierany i monitorowany powinien być w projektach, w których faktycznie przewiduje się tego typu wsparcie. </w:t>
      </w:r>
    </w:p>
    <w:p w14:paraId="1471777E" w14:textId="77777777" w:rsidR="001F1785" w:rsidRPr="00CD7D48" w:rsidRDefault="001F1785" w:rsidP="001F1785">
      <w:pPr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2</w:t>
      </w:r>
      <w:r w:rsidRPr="00CD7D48">
        <w:rPr>
          <w:rFonts w:ascii="Arial" w:hAnsi="Arial" w:cs="Arial"/>
          <w:b/>
          <w:bCs/>
          <w:u w:val="single"/>
        </w:rPr>
        <w:t>.</w:t>
      </w:r>
      <w:r w:rsidRPr="00CD7D48">
        <w:rPr>
          <w:rFonts w:ascii="Arial" w:hAnsi="Arial" w:cs="Arial"/>
          <w:b/>
          <w:bCs/>
          <w:u w:val="single"/>
        </w:rPr>
        <w:tab/>
        <w:t>Wskaźniki wspólne produktu monitorujące cechy wrażliwe:</w:t>
      </w:r>
    </w:p>
    <w:p w14:paraId="6001DDCF" w14:textId="77777777" w:rsidR="001F1785" w:rsidRDefault="001F1785" w:rsidP="001F1785">
      <w:pPr>
        <w:pStyle w:val="Akapitzlist"/>
        <w:numPr>
          <w:ilvl w:val="0"/>
          <w:numId w:val="21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osób z niepełnosprawnościami objętych wsparciem w programie EECO12,</w:t>
      </w:r>
    </w:p>
    <w:p w14:paraId="42A74184" w14:textId="77777777" w:rsidR="001F1785" w:rsidRDefault="001F1785" w:rsidP="001F1785">
      <w:pPr>
        <w:pStyle w:val="Akapitzlist"/>
        <w:numPr>
          <w:ilvl w:val="0"/>
          <w:numId w:val="21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osób z krajów trzecich objętych wsparciem w programie EECO13,</w:t>
      </w:r>
    </w:p>
    <w:p w14:paraId="25892D56" w14:textId="77777777" w:rsidR="001F1785" w:rsidRDefault="001F1785" w:rsidP="001F1785">
      <w:pPr>
        <w:pStyle w:val="Akapitzlist"/>
        <w:numPr>
          <w:ilvl w:val="0"/>
          <w:numId w:val="21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osób obcego pochodzenia objętych wsparciem w programie EECO14,</w:t>
      </w:r>
    </w:p>
    <w:p w14:paraId="1A9D018E" w14:textId="77777777" w:rsidR="001F1785" w:rsidRDefault="001F1785" w:rsidP="001F1785">
      <w:pPr>
        <w:pStyle w:val="Akapitzlist"/>
        <w:numPr>
          <w:ilvl w:val="0"/>
          <w:numId w:val="21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 xml:space="preserve">Liczba osób należących do mniejszości, w tym społeczności marginalizowanych takich jak Romowie, objętych wsparciem w programie EECO15, </w:t>
      </w:r>
    </w:p>
    <w:p w14:paraId="145158BD" w14:textId="77777777" w:rsidR="001F1785" w:rsidRPr="00CD7D48" w:rsidRDefault="001F1785" w:rsidP="001F1785">
      <w:pPr>
        <w:pStyle w:val="Akapitzlist"/>
        <w:numPr>
          <w:ilvl w:val="0"/>
          <w:numId w:val="21"/>
        </w:numPr>
        <w:spacing w:after="160" w:line="259" w:lineRule="auto"/>
        <w:rPr>
          <w:rFonts w:ascii="Arial" w:hAnsi="Arial" w:cs="Arial"/>
        </w:rPr>
      </w:pPr>
      <w:r w:rsidRPr="00CD7D48">
        <w:rPr>
          <w:rFonts w:ascii="Arial" w:hAnsi="Arial" w:cs="Arial"/>
        </w:rPr>
        <w:t>Liczba osób w kryzysie bezdomności lub dotkniętych wykluczeniem z dostępu do mieszkań, objętych wsparciem w programie EECO16.</w:t>
      </w:r>
    </w:p>
    <w:p w14:paraId="0FC60E53" w14:textId="77777777" w:rsidR="001F1785" w:rsidRPr="003F5640" w:rsidRDefault="001F1785" w:rsidP="001F1785">
      <w:pPr>
        <w:rPr>
          <w:rFonts w:ascii="Arial" w:hAnsi="Arial" w:cs="Arial"/>
          <w:i/>
          <w:iCs/>
          <w:color w:val="FF0000"/>
        </w:rPr>
      </w:pPr>
      <w:r w:rsidRPr="003F5640">
        <w:rPr>
          <w:rFonts w:ascii="Arial" w:hAnsi="Arial" w:cs="Arial"/>
        </w:rPr>
        <w:t xml:space="preserve">Wskaźniki należy wybierać i monitorować we wszystkich projektach, w których będą występować uczestnicy projektów. </w:t>
      </w:r>
    </w:p>
    <w:p w14:paraId="3C203A74" w14:textId="77777777" w:rsidR="001F1785" w:rsidRPr="003F5640" w:rsidRDefault="001F1785" w:rsidP="001F1785">
      <w:pPr>
        <w:rPr>
          <w:rFonts w:ascii="Arial" w:hAnsi="Arial" w:cs="Arial"/>
        </w:rPr>
      </w:pPr>
      <w:r w:rsidRPr="003F5640">
        <w:rPr>
          <w:rFonts w:ascii="Arial" w:hAnsi="Arial" w:cs="Arial"/>
        </w:rPr>
        <w:t>W przypadku projektów gdzie np. niepełnosprawność jest kryterium umożliwiającym udział w danej interwencji (np. grupa docelowa wskazana została we wniosku o dofinansowanie, kryteriach wyboru projektu lub dokumentach programowych) należy dane pozyskiwać bezpośrednio od wszystkich uczestników. W związku z powyższym dany wskaźnik powinien zostać wprowadzony do projektu wraz z oszacowaną wartością docelową.</w:t>
      </w:r>
    </w:p>
    <w:p w14:paraId="36D33615" w14:textId="19714C44" w:rsidR="001F1785" w:rsidRPr="00CD7D48" w:rsidRDefault="001F1785" w:rsidP="003C46C8">
      <w:pPr>
        <w:rPr>
          <w:rFonts w:ascii="Arial" w:hAnsi="Arial" w:cs="Arial"/>
        </w:rPr>
      </w:pPr>
      <w:r w:rsidRPr="003F5640">
        <w:rPr>
          <w:rFonts w:ascii="Arial" w:hAnsi="Arial" w:cs="Arial"/>
        </w:rPr>
        <w:t>W pozostałych przypadkach należy wybrać ww. wskaźniki wspólne do projektów jako tzw. „wskaźniki informacyjne” – dla wartości docelowej należy wpisać „0”, natomiast na etapie realizacji projektu we wnioskach o płatność należy odnotowywać faktyczną realizację wskaźników.</w:t>
      </w:r>
    </w:p>
    <w:p w14:paraId="5FCE95F9" w14:textId="77777777" w:rsidR="001F1785" w:rsidRPr="003F5640" w:rsidRDefault="001F1785" w:rsidP="001F1785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3</w:t>
      </w:r>
      <w:r w:rsidRPr="003F5640">
        <w:rPr>
          <w:rFonts w:ascii="Arial" w:hAnsi="Arial" w:cs="Arial"/>
          <w:b/>
          <w:bCs/>
          <w:u w:val="single"/>
        </w:rPr>
        <w:t>.</w:t>
      </w:r>
      <w:r w:rsidRPr="003F5640">
        <w:rPr>
          <w:rFonts w:ascii="Arial" w:hAnsi="Arial" w:cs="Arial"/>
          <w:b/>
          <w:bCs/>
          <w:u w:val="single"/>
        </w:rPr>
        <w:tab/>
        <w:t xml:space="preserve">Monitorowanie wskaźników z podziałem na płeć </w:t>
      </w:r>
    </w:p>
    <w:p w14:paraId="0D10DC55" w14:textId="2A877BD6" w:rsidR="00CF3FDB" w:rsidRPr="003C46C8" w:rsidRDefault="001F1785" w:rsidP="003C46C8">
      <w:pPr>
        <w:spacing w:after="120"/>
        <w:rPr>
          <w:rFonts w:ascii="Arial" w:hAnsi="Arial" w:cs="Arial"/>
        </w:rPr>
      </w:pPr>
      <w:r w:rsidRPr="00CD7D48">
        <w:rPr>
          <w:rFonts w:ascii="Arial" w:hAnsi="Arial" w:cs="Arial"/>
        </w:rPr>
        <w:t xml:space="preserve">Mając na uwadze zapisy Rozdziału 5, Podrozdział 5.2, pkt 5. Wytycznych dotyczących realizacji zasad równościowych w ramach funduszy unijnych na lata 2021-2027, należy pamiętać, iż zgodnie z „załącznikiem nr I do rozporządzenia EFS+, wszystkie wskaźniki wspólne dotyczące osób powinny być monitorowane z podziałem na płeć. Podejście to jest rekomendowane również w stosunku do </w:t>
      </w:r>
      <w:r w:rsidRPr="00CD7D48">
        <w:rPr>
          <w:rFonts w:ascii="Arial" w:hAnsi="Arial" w:cs="Arial"/>
        </w:rPr>
        <w:lastRenderedPageBreak/>
        <w:t>monitorowania wskaźników specyficznych dla programu i wskaźników kluczowych zawartych na Liście Wskaźników Kluczowych, w tym także w przypadku EFRR, FS i FST.”</w:t>
      </w:r>
    </w:p>
    <w:sectPr w:rsidR="00CF3FDB" w:rsidRPr="003C46C8" w:rsidSect="008B1227">
      <w:headerReference w:type="default" r:id="rId8"/>
      <w:footerReference w:type="default" r:id="rId9"/>
      <w:pgSz w:w="15840" w:h="12240" w:orient="landscape"/>
      <w:pgMar w:top="1417" w:right="1417" w:bottom="1417" w:left="1417" w:header="708" w:footer="26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8E971" w14:textId="77777777" w:rsidR="00543058" w:rsidRDefault="00543058" w:rsidP="006D1D6B">
      <w:pPr>
        <w:spacing w:after="0" w:line="240" w:lineRule="auto"/>
      </w:pPr>
      <w:r>
        <w:separator/>
      </w:r>
    </w:p>
  </w:endnote>
  <w:endnote w:type="continuationSeparator" w:id="0">
    <w:p w14:paraId="045A2BA3" w14:textId="77777777" w:rsidR="00543058" w:rsidRDefault="00543058" w:rsidP="006D1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Theme="majorEastAsia" w:hAnsi="Arial" w:cs="Arial"/>
        <w:sz w:val="16"/>
        <w:szCs w:val="16"/>
      </w:rPr>
      <w:id w:val="202081451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1B660135" w14:textId="77777777" w:rsidR="00BB5BB4" w:rsidRPr="00796AA6" w:rsidRDefault="00BB5BB4">
        <w:pPr>
          <w:pStyle w:val="Stopka"/>
          <w:jc w:val="right"/>
          <w:rPr>
            <w:rFonts w:eastAsiaTheme="majorEastAsia" w:cstheme="minorHAnsi"/>
          </w:rPr>
        </w:pPr>
        <w:r w:rsidRPr="00796AA6">
          <w:rPr>
            <w:rFonts w:eastAsiaTheme="majorEastAsia" w:cstheme="minorHAnsi"/>
          </w:rPr>
          <w:t xml:space="preserve">str. </w:t>
        </w:r>
        <w:r w:rsidRPr="00796AA6">
          <w:rPr>
            <w:rFonts w:eastAsiaTheme="minorEastAsia" w:cstheme="minorHAnsi"/>
          </w:rPr>
          <w:fldChar w:fldCharType="begin"/>
        </w:r>
        <w:r w:rsidRPr="00796AA6">
          <w:rPr>
            <w:rFonts w:cstheme="minorHAnsi"/>
          </w:rPr>
          <w:instrText>PAGE    \* MERGEFORMAT</w:instrText>
        </w:r>
        <w:r w:rsidRPr="00796AA6">
          <w:rPr>
            <w:rFonts w:eastAsiaTheme="minorEastAsia" w:cstheme="minorHAnsi"/>
          </w:rPr>
          <w:fldChar w:fldCharType="separate"/>
        </w:r>
        <w:r w:rsidR="006920E9" w:rsidRPr="006920E9">
          <w:rPr>
            <w:rFonts w:eastAsiaTheme="majorEastAsia" w:cstheme="minorHAnsi"/>
            <w:noProof/>
          </w:rPr>
          <w:t>3</w:t>
        </w:r>
        <w:r w:rsidRPr="00796AA6">
          <w:rPr>
            <w:rFonts w:eastAsiaTheme="majorEastAsia" w:cstheme="minorHAnsi"/>
          </w:rPr>
          <w:fldChar w:fldCharType="end"/>
        </w:r>
      </w:p>
    </w:sdtContent>
  </w:sdt>
  <w:p w14:paraId="33491044" w14:textId="77777777" w:rsidR="00BB5BB4" w:rsidRDefault="00BB5B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E1E97" w14:textId="77777777" w:rsidR="00543058" w:rsidRDefault="00543058" w:rsidP="006D1D6B">
      <w:pPr>
        <w:spacing w:after="0" w:line="240" w:lineRule="auto"/>
      </w:pPr>
      <w:r>
        <w:separator/>
      </w:r>
    </w:p>
  </w:footnote>
  <w:footnote w:type="continuationSeparator" w:id="0">
    <w:p w14:paraId="36380D86" w14:textId="77777777" w:rsidR="00543058" w:rsidRDefault="00543058" w:rsidP="006D1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D45E4" w14:textId="77777777" w:rsidR="00BB5BB4" w:rsidRDefault="00BB5BB4">
    <w:pPr>
      <w:pStyle w:val="Nagwek"/>
    </w:pPr>
    <w:r>
      <w:rPr>
        <w:rFonts w:ascii="Cambria" w:hAnsi="Cambria"/>
        <w:b/>
        <w:noProof/>
        <w:sz w:val="24"/>
        <w:szCs w:val="32"/>
        <w:lang w:eastAsia="pl-PL"/>
      </w:rPr>
      <w:drawing>
        <wp:anchor distT="0" distB="0" distL="114300" distR="114300" simplePos="0" relativeHeight="251658240" behindDoc="1" locked="0" layoutInCell="1" allowOverlap="1" wp14:anchorId="10EA2398" wp14:editId="01642AF5">
          <wp:simplePos x="0" y="0"/>
          <wp:positionH relativeFrom="margin">
            <wp:align>center</wp:align>
          </wp:positionH>
          <wp:positionV relativeFrom="paragraph">
            <wp:posOffset>-298974</wp:posOffset>
          </wp:positionV>
          <wp:extent cx="5836920" cy="464820"/>
          <wp:effectExtent l="0" t="0" r="0" b="0"/>
          <wp:wrapTopAndBottom/>
          <wp:docPr id="5" name="Obraz 5" descr="fe-rp-ue-pdk-FE-2021-2027-dla-Podkarpacia-pozio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-rp-ue-pdk-FE-2021-2027-dla-Podkarpacia-poziom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69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26142"/>
    <w:multiLevelType w:val="hybridMultilevel"/>
    <w:tmpl w:val="6F046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B6EA4"/>
    <w:multiLevelType w:val="hybridMultilevel"/>
    <w:tmpl w:val="22F0B276"/>
    <w:lvl w:ilvl="0" w:tplc="04323B7E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E30B3"/>
    <w:multiLevelType w:val="hybridMultilevel"/>
    <w:tmpl w:val="FD4286A6"/>
    <w:lvl w:ilvl="0" w:tplc="1B7850A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934A2"/>
    <w:multiLevelType w:val="hybridMultilevel"/>
    <w:tmpl w:val="E6EC8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84943"/>
    <w:multiLevelType w:val="hybridMultilevel"/>
    <w:tmpl w:val="A4167B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E15CE"/>
    <w:multiLevelType w:val="hybridMultilevel"/>
    <w:tmpl w:val="2A30CE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21C2E"/>
    <w:multiLevelType w:val="hybridMultilevel"/>
    <w:tmpl w:val="12327312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D3DC2"/>
    <w:multiLevelType w:val="hybridMultilevel"/>
    <w:tmpl w:val="8828DE42"/>
    <w:lvl w:ilvl="0" w:tplc="19286646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012ED4"/>
    <w:multiLevelType w:val="hybridMultilevel"/>
    <w:tmpl w:val="71762DF4"/>
    <w:lvl w:ilvl="0" w:tplc="E884AF60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0D34FA"/>
    <w:multiLevelType w:val="hybridMultilevel"/>
    <w:tmpl w:val="F8FEB4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64762D"/>
    <w:multiLevelType w:val="hybridMultilevel"/>
    <w:tmpl w:val="F410BD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554902"/>
    <w:multiLevelType w:val="hybridMultilevel"/>
    <w:tmpl w:val="0D223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B202EB"/>
    <w:multiLevelType w:val="hybridMultilevel"/>
    <w:tmpl w:val="DE72461E"/>
    <w:lvl w:ilvl="0" w:tplc="227C54C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58B73E81"/>
    <w:multiLevelType w:val="hybridMultilevel"/>
    <w:tmpl w:val="398AB078"/>
    <w:lvl w:ilvl="0" w:tplc="81CE626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337563"/>
    <w:multiLevelType w:val="hybridMultilevel"/>
    <w:tmpl w:val="2F60DB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603B33"/>
    <w:multiLevelType w:val="hybridMultilevel"/>
    <w:tmpl w:val="9B9AD7C2"/>
    <w:lvl w:ilvl="0" w:tplc="14DEF3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77A4E"/>
    <w:multiLevelType w:val="hybridMultilevel"/>
    <w:tmpl w:val="6F2C8DE6"/>
    <w:lvl w:ilvl="0" w:tplc="4D2019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1B8B"/>
    <w:multiLevelType w:val="hybridMultilevel"/>
    <w:tmpl w:val="D654F6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43713"/>
    <w:multiLevelType w:val="hybridMultilevel"/>
    <w:tmpl w:val="DD8E47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E1E1E"/>
    <w:multiLevelType w:val="hybridMultilevel"/>
    <w:tmpl w:val="12222622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1173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042053"/>
    <w:multiLevelType w:val="hybridMultilevel"/>
    <w:tmpl w:val="3600EE2A"/>
    <w:lvl w:ilvl="0" w:tplc="5FAE119E">
      <w:start w:val="1"/>
      <w:numFmt w:val="lowerLetter"/>
      <w:lvlText w:val="%1&gt;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68730117">
    <w:abstractNumId w:val="7"/>
  </w:num>
  <w:num w:numId="2" w16cid:durableId="1790734830">
    <w:abstractNumId w:val="10"/>
  </w:num>
  <w:num w:numId="3" w16cid:durableId="1049384159">
    <w:abstractNumId w:val="13"/>
  </w:num>
  <w:num w:numId="4" w16cid:durableId="56562103">
    <w:abstractNumId w:val="16"/>
  </w:num>
  <w:num w:numId="5" w16cid:durableId="907231164">
    <w:abstractNumId w:val="6"/>
  </w:num>
  <w:num w:numId="6" w16cid:durableId="1474717897">
    <w:abstractNumId w:val="19"/>
  </w:num>
  <w:num w:numId="7" w16cid:durableId="2137790596">
    <w:abstractNumId w:val="20"/>
  </w:num>
  <w:num w:numId="8" w16cid:durableId="1947154722">
    <w:abstractNumId w:val="9"/>
  </w:num>
  <w:num w:numId="9" w16cid:durableId="933170804">
    <w:abstractNumId w:val="18"/>
  </w:num>
  <w:num w:numId="10" w16cid:durableId="540555403">
    <w:abstractNumId w:val="12"/>
  </w:num>
  <w:num w:numId="11" w16cid:durableId="1012073125">
    <w:abstractNumId w:val="8"/>
  </w:num>
  <w:num w:numId="12" w16cid:durableId="1945723077">
    <w:abstractNumId w:val="1"/>
  </w:num>
  <w:num w:numId="13" w16cid:durableId="1739283843">
    <w:abstractNumId w:val="2"/>
  </w:num>
  <w:num w:numId="14" w16cid:durableId="537277900">
    <w:abstractNumId w:val="3"/>
  </w:num>
  <w:num w:numId="15" w16cid:durableId="1057902307">
    <w:abstractNumId w:val="15"/>
  </w:num>
  <w:num w:numId="16" w16cid:durableId="1260021761">
    <w:abstractNumId w:val="11"/>
  </w:num>
  <w:num w:numId="17" w16cid:durableId="111679587">
    <w:abstractNumId w:val="14"/>
  </w:num>
  <w:num w:numId="18" w16cid:durableId="336883647">
    <w:abstractNumId w:val="0"/>
  </w:num>
  <w:num w:numId="19" w16cid:durableId="1057633358">
    <w:abstractNumId w:val="5"/>
  </w:num>
  <w:num w:numId="20" w16cid:durableId="530801674">
    <w:abstractNumId w:val="17"/>
  </w:num>
  <w:num w:numId="21" w16cid:durableId="101389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D79"/>
    <w:rsid w:val="00000905"/>
    <w:rsid w:val="00002334"/>
    <w:rsid w:val="00004263"/>
    <w:rsid w:val="000205BC"/>
    <w:rsid w:val="000230FC"/>
    <w:rsid w:val="00031928"/>
    <w:rsid w:val="00053864"/>
    <w:rsid w:val="000654B3"/>
    <w:rsid w:val="00086E61"/>
    <w:rsid w:val="00090056"/>
    <w:rsid w:val="000B5A54"/>
    <w:rsid w:val="000B6493"/>
    <w:rsid w:val="000C2029"/>
    <w:rsid w:val="000C251C"/>
    <w:rsid w:val="000C3E70"/>
    <w:rsid w:val="000D318E"/>
    <w:rsid w:val="000E7D06"/>
    <w:rsid w:val="00114878"/>
    <w:rsid w:val="0013445F"/>
    <w:rsid w:val="00144F3F"/>
    <w:rsid w:val="00152A15"/>
    <w:rsid w:val="00155B2E"/>
    <w:rsid w:val="0015644F"/>
    <w:rsid w:val="00157188"/>
    <w:rsid w:val="00172AF1"/>
    <w:rsid w:val="00182A9F"/>
    <w:rsid w:val="001A3B11"/>
    <w:rsid w:val="001B6995"/>
    <w:rsid w:val="001C04A0"/>
    <w:rsid w:val="001E6676"/>
    <w:rsid w:val="001F1785"/>
    <w:rsid w:val="002149DF"/>
    <w:rsid w:val="00235558"/>
    <w:rsid w:val="00246168"/>
    <w:rsid w:val="00257EBB"/>
    <w:rsid w:val="00261FDA"/>
    <w:rsid w:val="0027205D"/>
    <w:rsid w:val="00282441"/>
    <w:rsid w:val="00290859"/>
    <w:rsid w:val="00290A6A"/>
    <w:rsid w:val="002B2B3A"/>
    <w:rsid w:val="002C6743"/>
    <w:rsid w:val="002D1E9C"/>
    <w:rsid w:val="003001AC"/>
    <w:rsid w:val="00344568"/>
    <w:rsid w:val="00352539"/>
    <w:rsid w:val="00360EB4"/>
    <w:rsid w:val="00365570"/>
    <w:rsid w:val="00385BD1"/>
    <w:rsid w:val="003A11C9"/>
    <w:rsid w:val="003B0F0F"/>
    <w:rsid w:val="003C46C8"/>
    <w:rsid w:val="003E5796"/>
    <w:rsid w:val="00405D0B"/>
    <w:rsid w:val="004100F9"/>
    <w:rsid w:val="00411040"/>
    <w:rsid w:val="0041431C"/>
    <w:rsid w:val="004324A0"/>
    <w:rsid w:val="00445BF6"/>
    <w:rsid w:val="004527D3"/>
    <w:rsid w:val="00477B8E"/>
    <w:rsid w:val="004A3E4D"/>
    <w:rsid w:val="004F418A"/>
    <w:rsid w:val="004F479A"/>
    <w:rsid w:val="004F70B3"/>
    <w:rsid w:val="00502484"/>
    <w:rsid w:val="00505347"/>
    <w:rsid w:val="00533043"/>
    <w:rsid w:val="00543058"/>
    <w:rsid w:val="0057471A"/>
    <w:rsid w:val="00580912"/>
    <w:rsid w:val="00581882"/>
    <w:rsid w:val="00581D57"/>
    <w:rsid w:val="00585243"/>
    <w:rsid w:val="00594928"/>
    <w:rsid w:val="005A5EED"/>
    <w:rsid w:val="005B1AA5"/>
    <w:rsid w:val="005E5F2A"/>
    <w:rsid w:val="005F0E55"/>
    <w:rsid w:val="005F2115"/>
    <w:rsid w:val="005F5FF0"/>
    <w:rsid w:val="00614F2C"/>
    <w:rsid w:val="006301D2"/>
    <w:rsid w:val="00630C9F"/>
    <w:rsid w:val="00640650"/>
    <w:rsid w:val="0064466D"/>
    <w:rsid w:val="0064679F"/>
    <w:rsid w:val="00651B7E"/>
    <w:rsid w:val="0067613E"/>
    <w:rsid w:val="00684FC5"/>
    <w:rsid w:val="00691B4B"/>
    <w:rsid w:val="006920E9"/>
    <w:rsid w:val="00692BC5"/>
    <w:rsid w:val="00696E1A"/>
    <w:rsid w:val="00696F50"/>
    <w:rsid w:val="006C17E0"/>
    <w:rsid w:val="006C799C"/>
    <w:rsid w:val="006D1D6B"/>
    <w:rsid w:val="006E592F"/>
    <w:rsid w:val="006E5B5D"/>
    <w:rsid w:val="00710BAD"/>
    <w:rsid w:val="00720DC1"/>
    <w:rsid w:val="0072141C"/>
    <w:rsid w:val="00727C71"/>
    <w:rsid w:val="00730486"/>
    <w:rsid w:val="00736EE2"/>
    <w:rsid w:val="00737E6C"/>
    <w:rsid w:val="00756801"/>
    <w:rsid w:val="00763F77"/>
    <w:rsid w:val="00784698"/>
    <w:rsid w:val="00785BEC"/>
    <w:rsid w:val="00792754"/>
    <w:rsid w:val="00796046"/>
    <w:rsid w:val="00796AA6"/>
    <w:rsid w:val="007D31A3"/>
    <w:rsid w:val="007F3FC6"/>
    <w:rsid w:val="00802625"/>
    <w:rsid w:val="00805EA6"/>
    <w:rsid w:val="008121B4"/>
    <w:rsid w:val="008164A7"/>
    <w:rsid w:val="00830C63"/>
    <w:rsid w:val="00834444"/>
    <w:rsid w:val="00845CCE"/>
    <w:rsid w:val="00853B4A"/>
    <w:rsid w:val="0086474C"/>
    <w:rsid w:val="0088130C"/>
    <w:rsid w:val="00883B58"/>
    <w:rsid w:val="00893DC2"/>
    <w:rsid w:val="008B1227"/>
    <w:rsid w:val="008C6F3A"/>
    <w:rsid w:val="008C6F7C"/>
    <w:rsid w:val="008D09EF"/>
    <w:rsid w:val="008D4C96"/>
    <w:rsid w:val="008D4D3C"/>
    <w:rsid w:val="008F6B3C"/>
    <w:rsid w:val="00905CC9"/>
    <w:rsid w:val="00923678"/>
    <w:rsid w:val="00927882"/>
    <w:rsid w:val="00932E43"/>
    <w:rsid w:val="00945115"/>
    <w:rsid w:val="009531FD"/>
    <w:rsid w:val="00966F77"/>
    <w:rsid w:val="00981867"/>
    <w:rsid w:val="00990DB9"/>
    <w:rsid w:val="009B15F5"/>
    <w:rsid w:val="009C2E45"/>
    <w:rsid w:val="009E4B9E"/>
    <w:rsid w:val="009E7AB6"/>
    <w:rsid w:val="009F306D"/>
    <w:rsid w:val="00A03A07"/>
    <w:rsid w:val="00A121C2"/>
    <w:rsid w:val="00A15F5F"/>
    <w:rsid w:val="00A27F9D"/>
    <w:rsid w:val="00A517B2"/>
    <w:rsid w:val="00A649CF"/>
    <w:rsid w:val="00A70997"/>
    <w:rsid w:val="00A74A68"/>
    <w:rsid w:val="00A80F23"/>
    <w:rsid w:val="00A902C8"/>
    <w:rsid w:val="00AA6F41"/>
    <w:rsid w:val="00AB1126"/>
    <w:rsid w:val="00AB5656"/>
    <w:rsid w:val="00AC165E"/>
    <w:rsid w:val="00AD6EC5"/>
    <w:rsid w:val="00AE5559"/>
    <w:rsid w:val="00AF4241"/>
    <w:rsid w:val="00B4757B"/>
    <w:rsid w:val="00B82EC1"/>
    <w:rsid w:val="00B85E15"/>
    <w:rsid w:val="00BA03A2"/>
    <w:rsid w:val="00BB5BB4"/>
    <w:rsid w:val="00BB5F40"/>
    <w:rsid w:val="00BD77A0"/>
    <w:rsid w:val="00BE2CF2"/>
    <w:rsid w:val="00C06892"/>
    <w:rsid w:val="00C22F9A"/>
    <w:rsid w:val="00C336FA"/>
    <w:rsid w:val="00C55151"/>
    <w:rsid w:val="00C70372"/>
    <w:rsid w:val="00CA4A87"/>
    <w:rsid w:val="00CC6324"/>
    <w:rsid w:val="00CD23E3"/>
    <w:rsid w:val="00CE3AA2"/>
    <w:rsid w:val="00CE3BC8"/>
    <w:rsid w:val="00CF3FDB"/>
    <w:rsid w:val="00D02D42"/>
    <w:rsid w:val="00D0401E"/>
    <w:rsid w:val="00D101E1"/>
    <w:rsid w:val="00D13189"/>
    <w:rsid w:val="00D15A99"/>
    <w:rsid w:val="00D21A63"/>
    <w:rsid w:val="00D2541F"/>
    <w:rsid w:val="00D25E33"/>
    <w:rsid w:val="00D325C3"/>
    <w:rsid w:val="00D32EDA"/>
    <w:rsid w:val="00D374F7"/>
    <w:rsid w:val="00D76FDA"/>
    <w:rsid w:val="00D96E6D"/>
    <w:rsid w:val="00DE1A5A"/>
    <w:rsid w:val="00DE1D79"/>
    <w:rsid w:val="00DE54CA"/>
    <w:rsid w:val="00E15672"/>
    <w:rsid w:val="00E45A21"/>
    <w:rsid w:val="00E46DB3"/>
    <w:rsid w:val="00E61A76"/>
    <w:rsid w:val="00E62E15"/>
    <w:rsid w:val="00E658C5"/>
    <w:rsid w:val="00E65B45"/>
    <w:rsid w:val="00E84970"/>
    <w:rsid w:val="00E8645E"/>
    <w:rsid w:val="00E93A29"/>
    <w:rsid w:val="00E97474"/>
    <w:rsid w:val="00EA3B17"/>
    <w:rsid w:val="00EB206C"/>
    <w:rsid w:val="00EB4B8B"/>
    <w:rsid w:val="00EB7581"/>
    <w:rsid w:val="00EC5F27"/>
    <w:rsid w:val="00ED2CDB"/>
    <w:rsid w:val="00ED5252"/>
    <w:rsid w:val="00EF03BF"/>
    <w:rsid w:val="00EF5165"/>
    <w:rsid w:val="00F0409F"/>
    <w:rsid w:val="00F145DF"/>
    <w:rsid w:val="00F23CAE"/>
    <w:rsid w:val="00F40330"/>
    <w:rsid w:val="00F42579"/>
    <w:rsid w:val="00F4577B"/>
    <w:rsid w:val="00F61099"/>
    <w:rsid w:val="00F92609"/>
    <w:rsid w:val="00F96126"/>
    <w:rsid w:val="00FB2001"/>
    <w:rsid w:val="00FD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CC7471"/>
  <w15:chartTrackingRefBased/>
  <w15:docId w15:val="{E162BD5E-1241-4899-A0E1-FF9661B50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70372"/>
    <w:pPr>
      <w:spacing w:after="0" w:line="276" w:lineRule="auto"/>
      <w:jc w:val="right"/>
      <w:outlineLvl w:val="0"/>
    </w:pPr>
    <w:rPr>
      <w:rFonts w:ascii="Arial" w:hAnsi="Arial" w:cs="Ari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6168"/>
    <w:pPr>
      <w:spacing w:after="0" w:line="276" w:lineRule="auto"/>
      <w:jc w:val="center"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6168"/>
    <w:pPr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List Paragraph,Kolorowa lista — akcent 11,Akapit z listą BS"/>
    <w:basedOn w:val="Normalny"/>
    <w:link w:val="AkapitzlistZnak"/>
    <w:qFormat/>
    <w:rsid w:val="00D101E1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AkapitzlistZnak">
    <w:name w:val="Akapit z listą Znak"/>
    <w:aliases w:val="Numerowanie Znak,List Paragraph Znak,Kolorowa lista — akcent 11 Znak,Akapit z listą BS Znak"/>
    <w:link w:val="Akapitzlist"/>
    <w:locked/>
    <w:rsid w:val="00D101E1"/>
    <w:rPr>
      <w:rFonts w:ascii="Calibri" w:eastAsia="Calibri" w:hAnsi="Calibri" w:cs="Times New Roman"/>
      <w:lang w:val="x-none"/>
    </w:rPr>
  </w:style>
  <w:style w:type="paragraph" w:styleId="Tekstprzypisudolnego">
    <w:name w:val="footnote text"/>
    <w:aliases w:val="Footnote,Podrozdział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6D1D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Footnote Znak,Podrozdział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6D1D6B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styleId="Odwoanieprzypisudolnego">
    <w:name w:val="footnote reference"/>
    <w:aliases w:val="Footnote Reference Number"/>
    <w:uiPriority w:val="99"/>
    <w:rsid w:val="006D1D6B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4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444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rsid w:val="00D21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2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2625"/>
  </w:style>
  <w:style w:type="paragraph" w:styleId="Stopka">
    <w:name w:val="footer"/>
    <w:basedOn w:val="Normalny"/>
    <w:link w:val="StopkaZnak"/>
    <w:uiPriority w:val="99"/>
    <w:unhideWhenUsed/>
    <w:rsid w:val="00802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2625"/>
  </w:style>
  <w:style w:type="character" w:styleId="Odwoaniedokomentarza">
    <w:name w:val="annotation reference"/>
    <w:basedOn w:val="Domylnaczcionkaakapitu"/>
    <w:uiPriority w:val="99"/>
    <w:semiHidden/>
    <w:unhideWhenUsed/>
    <w:rsid w:val="0071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10B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0BA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0B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0BAD"/>
    <w:rPr>
      <w:b/>
      <w:bCs/>
      <w:sz w:val="20"/>
      <w:szCs w:val="20"/>
    </w:rPr>
  </w:style>
  <w:style w:type="table" w:customStyle="1" w:styleId="Tabelasiatki1jasna1">
    <w:name w:val="Tabela siatki 1 — jasna1"/>
    <w:basedOn w:val="Standardowy"/>
    <w:uiPriority w:val="46"/>
    <w:rsid w:val="00CF3FD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5F2115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70372"/>
    <w:rPr>
      <w:rFonts w:ascii="Arial" w:hAnsi="Arial" w:cs="Arial"/>
    </w:rPr>
  </w:style>
  <w:style w:type="character" w:customStyle="1" w:styleId="Nagwek2Znak">
    <w:name w:val="Nagłówek 2 Znak"/>
    <w:basedOn w:val="Domylnaczcionkaakapitu"/>
    <w:link w:val="Nagwek2"/>
    <w:uiPriority w:val="9"/>
    <w:rsid w:val="00246168"/>
    <w:rPr>
      <w:rFonts w:ascii="Arial" w:hAnsi="Arial" w:cs="Arial"/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46168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D219A-D4BA-4EBA-8D37-829C96E33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20</Pages>
  <Words>3489</Words>
  <Characters>20938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6_Lista wskaźników (EFS+)</vt:lpstr>
    </vt:vector>
  </TitlesOfParts>
  <Company/>
  <LinksUpToDate>false</LinksUpToDate>
  <CharactersWithSpaces>24379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6_Lista wskaźników (EFS+)</dc:title>
  <dc:subject/>
  <dc:creator>UMWP</dc:creator>
  <cp:keywords/>
  <dc:description/>
  <cp:lastModifiedBy>Liwocz K</cp:lastModifiedBy>
  <cp:revision>5</cp:revision>
  <cp:lastPrinted>2025-11-28T07:38:00Z</cp:lastPrinted>
  <dcterms:created xsi:type="dcterms:W3CDTF">2024-10-31T06:59:00Z</dcterms:created>
  <dcterms:modified xsi:type="dcterms:W3CDTF">2025-11-28T07:39:00Z</dcterms:modified>
</cp:coreProperties>
</file>